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64418" w14:textId="77777777" w:rsidR="00EA549C" w:rsidRDefault="00EA549C" w:rsidP="000A75ED">
      <w:pPr>
        <w:spacing w:line="276" w:lineRule="auto"/>
        <w:contextualSpacing/>
        <w:rPr>
          <w:rFonts w:ascii="Times New Roman" w:hAnsi="Times New Roman" w:cs="Times New Roman"/>
          <w:b/>
        </w:rPr>
      </w:pPr>
      <w:r>
        <w:rPr>
          <w:rFonts w:ascii="Times New Roman" w:hAnsi="Times New Roman" w:cs="Times New Roman"/>
          <w:b/>
        </w:rPr>
        <w:t>BS 2627/2024-OLR</w:t>
      </w:r>
    </w:p>
    <w:p w14:paraId="0B877973" w14:textId="77777777" w:rsidR="00EA549C" w:rsidRDefault="00EA549C" w:rsidP="000A75ED">
      <w:pPr>
        <w:spacing w:line="276" w:lineRule="auto"/>
        <w:contextualSpacing/>
        <w:rPr>
          <w:rFonts w:ascii="Times New Roman" w:hAnsi="Times New Roman" w:cs="Times New Roman"/>
          <w:b/>
        </w:rPr>
      </w:pPr>
    </w:p>
    <w:p w14:paraId="219C8CE8" w14:textId="378F323F" w:rsidR="000A75ED" w:rsidRPr="000A75ED" w:rsidRDefault="000A75ED" w:rsidP="000A75ED">
      <w:pPr>
        <w:spacing w:line="276" w:lineRule="auto"/>
        <w:contextualSpacing/>
        <w:rPr>
          <w:rFonts w:ascii="Times New Roman" w:hAnsi="Times New Roman" w:cs="Times New Roman"/>
          <w:b/>
        </w:rPr>
      </w:pPr>
      <w:r w:rsidRPr="000A75ED">
        <w:rPr>
          <w:rFonts w:ascii="Times New Roman" w:hAnsi="Times New Roman" w:cs="Times New Roman"/>
          <w:b/>
        </w:rPr>
        <w:t>Landsrettens begrundelse og resultat</w:t>
      </w:r>
    </w:p>
    <w:p w14:paraId="0DD66E6F" w14:textId="0609ABD6" w:rsidR="000A75ED" w:rsidRPr="000A75ED" w:rsidRDefault="000A75ED" w:rsidP="000A75ED">
      <w:pPr>
        <w:spacing w:line="276" w:lineRule="auto"/>
        <w:contextualSpacing/>
        <w:rPr>
          <w:rFonts w:ascii="Times New Roman" w:hAnsi="Times New Roman" w:cs="Times New Roman"/>
        </w:rPr>
      </w:pPr>
      <w:r w:rsidRPr="000A75ED">
        <w:rPr>
          <w:rFonts w:ascii="Times New Roman" w:hAnsi="Times New Roman" w:cs="Times New Roman"/>
        </w:rPr>
        <w:t xml:space="preserve">Denne ankesag angår samme spørgsmål som for Sø- og Handelsretten om, hvorvidt </w:t>
      </w:r>
      <w:r w:rsidR="00133C12">
        <w:rPr>
          <w:rFonts w:ascii="Times New Roman" w:hAnsi="Times New Roman" w:cs="Times New Roman"/>
        </w:rPr>
        <w:t>A</w:t>
      </w:r>
      <w:r w:rsidRPr="000A75ED">
        <w:rPr>
          <w:rFonts w:ascii="Times New Roman" w:hAnsi="Times New Roman" w:cs="Times New Roman"/>
        </w:rPr>
        <w:t xml:space="preserve"> skal betale økonomisk kompensation for krænkelse af </w:t>
      </w:r>
      <w:proofErr w:type="spellStart"/>
      <w:r w:rsidRPr="000A75ED">
        <w:rPr>
          <w:rFonts w:ascii="Times New Roman" w:hAnsi="Times New Roman" w:cs="Times New Roman"/>
        </w:rPr>
        <w:t>HPE’s</w:t>
      </w:r>
      <w:proofErr w:type="spellEnd"/>
      <w:r w:rsidRPr="000A75ED">
        <w:rPr>
          <w:rFonts w:ascii="Times New Roman" w:hAnsi="Times New Roman" w:cs="Times New Roman"/>
        </w:rPr>
        <w:t xml:space="preserve"> varemærkerettigheder ved parallelimport til og salg i Det Europæiske Økonomiske Samarbejdsområde (EØS) </w:t>
      </w:r>
      <w:bookmarkStart w:id="0" w:name="_Hlk208137488"/>
      <w:r w:rsidRPr="000A75ED">
        <w:rPr>
          <w:rFonts w:ascii="Times New Roman" w:hAnsi="Times New Roman" w:cs="Times New Roman"/>
        </w:rPr>
        <w:t>af HPE-produkter</w:t>
      </w:r>
      <w:bookmarkEnd w:id="0"/>
      <w:r w:rsidRPr="000A75ED">
        <w:rPr>
          <w:rFonts w:ascii="Times New Roman" w:hAnsi="Times New Roman" w:cs="Times New Roman"/>
        </w:rPr>
        <w:t xml:space="preserve"> (produkter, som hidrører fra HPE og hermed koncernforbundne selskaber) foretaget af </w:t>
      </w:r>
      <w:r w:rsidR="00133C12">
        <w:rPr>
          <w:rFonts w:ascii="Times New Roman" w:hAnsi="Times New Roman" w:cs="Times New Roman"/>
        </w:rPr>
        <w:t>B</w:t>
      </w:r>
      <w:r w:rsidRPr="000A75ED">
        <w:rPr>
          <w:rFonts w:ascii="Times New Roman" w:hAnsi="Times New Roman" w:cs="Times New Roman"/>
        </w:rPr>
        <w:t xml:space="preserve"> fra stiftelsen af selskabet den 23. juni 2016 og til bevissikring blev foretaget den 12. december 2019. Der er fortsat navnlig spørgsmål om bevisbyrden for, at der er tale om varemærkekrænkende parallelimport, personlig hæftelse for </w:t>
      </w:r>
      <w:r w:rsidR="00133C12">
        <w:rPr>
          <w:rFonts w:ascii="Times New Roman" w:hAnsi="Times New Roman" w:cs="Times New Roman"/>
        </w:rPr>
        <w:t>A</w:t>
      </w:r>
      <w:r w:rsidRPr="000A75ED">
        <w:rPr>
          <w:rFonts w:ascii="Times New Roman" w:hAnsi="Times New Roman" w:cs="Times New Roman"/>
        </w:rPr>
        <w:t xml:space="preserve">, passivitet, forældelse og tabsbegrænsningspligt samt udmåling af eventuel økonomisk kompensation. </w:t>
      </w:r>
    </w:p>
    <w:p w14:paraId="76575D1B" w14:textId="77777777" w:rsidR="000A75ED" w:rsidRPr="000A75ED" w:rsidRDefault="000A75ED" w:rsidP="000A75ED">
      <w:pPr>
        <w:spacing w:line="276" w:lineRule="auto"/>
        <w:contextualSpacing/>
        <w:rPr>
          <w:rFonts w:ascii="Times New Roman" w:hAnsi="Times New Roman" w:cs="Times New Roman"/>
        </w:rPr>
      </w:pPr>
    </w:p>
    <w:p w14:paraId="109BCB46" w14:textId="77777777" w:rsidR="000A75ED" w:rsidRPr="000A75ED" w:rsidRDefault="000A75ED" w:rsidP="000A75ED">
      <w:pPr>
        <w:spacing w:line="276" w:lineRule="auto"/>
        <w:contextualSpacing/>
        <w:rPr>
          <w:rFonts w:ascii="Times New Roman" w:hAnsi="Times New Roman" w:cs="Times New Roman"/>
          <w:b/>
          <w:bCs/>
          <w:i/>
          <w:iCs/>
        </w:rPr>
      </w:pPr>
      <w:r w:rsidRPr="000A75ED">
        <w:rPr>
          <w:rFonts w:ascii="Times New Roman" w:hAnsi="Times New Roman" w:cs="Times New Roman"/>
          <w:b/>
          <w:bCs/>
          <w:i/>
          <w:iCs/>
        </w:rPr>
        <w:t>Formalitetsspørgsmål</w:t>
      </w:r>
    </w:p>
    <w:p w14:paraId="43D1F6A6" w14:textId="780EB563" w:rsidR="000A75ED" w:rsidRPr="000A75ED" w:rsidRDefault="00133C12" w:rsidP="000A75ED">
      <w:pPr>
        <w:spacing w:line="276" w:lineRule="auto"/>
        <w:contextualSpacing/>
        <w:rPr>
          <w:rFonts w:ascii="Times New Roman" w:hAnsi="Times New Roman" w:cs="Times New Roman"/>
        </w:rPr>
      </w:pPr>
      <w:r>
        <w:rPr>
          <w:rFonts w:ascii="Times New Roman" w:hAnsi="Times New Roman" w:cs="Times New Roman"/>
        </w:rPr>
        <w:t>A</w:t>
      </w:r>
      <w:r w:rsidR="000A75ED" w:rsidRPr="000A75ED">
        <w:rPr>
          <w:rFonts w:ascii="Times New Roman" w:hAnsi="Times New Roman" w:cs="Times New Roman"/>
        </w:rPr>
        <w:t xml:space="preserve"> har gjort gældende, at Sø- og Handelsretten har tilkendt HPE erstatning i strid med forhandlingsmaksimen, da HPE ikke for Sø- og Handelsretten havde gjort gældende at være berettiget til erstatning, men alene til vederlag, og at én af de medvirkende dommere i Sø- og Handelsretten var inhabil.  </w:t>
      </w:r>
    </w:p>
    <w:p w14:paraId="68F01D50" w14:textId="77777777" w:rsidR="000A75ED" w:rsidRPr="000A75ED" w:rsidRDefault="000A75ED" w:rsidP="000A75ED">
      <w:pPr>
        <w:spacing w:line="276" w:lineRule="auto"/>
        <w:contextualSpacing/>
        <w:rPr>
          <w:rFonts w:ascii="Times New Roman" w:hAnsi="Times New Roman" w:cs="Times New Roman"/>
        </w:rPr>
      </w:pPr>
    </w:p>
    <w:p w14:paraId="5EA16C30" w14:textId="3CD12472" w:rsidR="000A75ED" w:rsidRPr="000A75ED" w:rsidRDefault="000A75ED" w:rsidP="000A75ED">
      <w:pPr>
        <w:spacing w:line="276" w:lineRule="auto"/>
        <w:contextualSpacing/>
        <w:rPr>
          <w:rFonts w:ascii="Times New Roman" w:hAnsi="Times New Roman" w:cs="Times New Roman"/>
        </w:rPr>
      </w:pPr>
      <w:r w:rsidRPr="000A75ED">
        <w:rPr>
          <w:rFonts w:ascii="Times New Roman" w:hAnsi="Times New Roman" w:cs="Times New Roman"/>
        </w:rPr>
        <w:t xml:space="preserve">Da </w:t>
      </w:r>
      <w:r w:rsidR="00133C12">
        <w:rPr>
          <w:rFonts w:ascii="Times New Roman" w:hAnsi="Times New Roman" w:cs="Times New Roman"/>
        </w:rPr>
        <w:t>A</w:t>
      </w:r>
      <w:r w:rsidRPr="000A75ED">
        <w:rPr>
          <w:rFonts w:ascii="Times New Roman" w:hAnsi="Times New Roman" w:cs="Times New Roman"/>
        </w:rPr>
        <w:t xml:space="preserve"> ikke har nedlagt påstand om hjemvisning som følge af brud på forhandlingsmaksimen og/eller inhabilitet, er det uklart, hvilken konsekvens, hun mener, at det skal have, hvis landsretten måtte være enig i det, hun har anført. </w:t>
      </w:r>
    </w:p>
    <w:p w14:paraId="71C05D61" w14:textId="77777777" w:rsidR="000A75ED" w:rsidRPr="000A75ED" w:rsidRDefault="000A75ED" w:rsidP="000A75ED">
      <w:pPr>
        <w:spacing w:line="276" w:lineRule="auto"/>
        <w:contextualSpacing/>
        <w:rPr>
          <w:rFonts w:ascii="Times New Roman" w:hAnsi="Times New Roman" w:cs="Times New Roman"/>
        </w:rPr>
      </w:pPr>
    </w:p>
    <w:p w14:paraId="7BCB3A4F" w14:textId="685F5B9F" w:rsidR="000A75ED" w:rsidRPr="000A75ED" w:rsidRDefault="000A75ED" w:rsidP="000A75ED">
      <w:pPr>
        <w:spacing w:line="276" w:lineRule="auto"/>
        <w:contextualSpacing/>
        <w:rPr>
          <w:rFonts w:ascii="Times New Roman" w:hAnsi="Times New Roman" w:cs="Times New Roman"/>
        </w:rPr>
      </w:pPr>
      <w:r w:rsidRPr="000A75ED">
        <w:rPr>
          <w:rFonts w:ascii="Times New Roman" w:hAnsi="Times New Roman" w:cs="Times New Roman"/>
        </w:rPr>
        <w:t xml:space="preserve">Om det af </w:t>
      </w:r>
      <w:r w:rsidR="00133C12">
        <w:rPr>
          <w:rFonts w:ascii="Times New Roman" w:hAnsi="Times New Roman" w:cs="Times New Roman"/>
        </w:rPr>
        <w:t>A</w:t>
      </w:r>
      <w:r w:rsidRPr="000A75ED">
        <w:rPr>
          <w:rFonts w:ascii="Times New Roman" w:hAnsi="Times New Roman" w:cs="Times New Roman"/>
        </w:rPr>
        <w:t xml:space="preserve"> anførte bemærker landsretten i øvrigt,  at det af </w:t>
      </w:r>
      <w:proofErr w:type="spellStart"/>
      <w:r w:rsidRPr="000A75ED">
        <w:rPr>
          <w:rFonts w:ascii="Times New Roman" w:hAnsi="Times New Roman" w:cs="Times New Roman"/>
        </w:rPr>
        <w:t>HPE’s</w:t>
      </w:r>
      <w:proofErr w:type="spellEnd"/>
      <w:r w:rsidRPr="000A75ED">
        <w:rPr>
          <w:rFonts w:ascii="Times New Roman" w:hAnsi="Times New Roman" w:cs="Times New Roman"/>
        </w:rPr>
        <w:t xml:space="preserve"> sammenfattende processkrift for Sø- og Handelsretten, som er citeret i dommen, klart fremgår, at det af HPE for Sø- og Handelsretten rejste krav om økonomisk kompensation både var et vederlagskrav og et erstatningskrav, som det også er tilfældet nu. Landsretten finder endvidere, at den omstændighed, at en de medvirkende sagkyndige dommere i Sø- og Handelsretten i sit tidligere virke som advokat har fremsat krav om markedsforstyrrelse i to parallelimportsager, der er afgjort ved dommene gengivet i </w:t>
      </w:r>
      <w:proofErr w:type="spellStart"/>
      <w:r w:rsidRPr="000A75ED">
        <w:rPr>
          <w:rFonts w:ascii="Times New Roman" w:hAnsi="Times New Roman" w:cs="Times New Roman"/>
          <w:bCs/>
        </w:rPr>
        <w:t>UfR</w:t>
      </w:r>
      <w:proofErr w:type="spellEnd"/>
      <w:r w:rsidRPr="000A75ED">
        <w:rPr>
          <w:rFonts w:ascii="Times New Roman" w:hAnsi="Times New Roman" w:cs="Times New Roman"/>
          <w:bCs/>
        </w:rPr>
        <w:t xml:space="preserve"> 2003.630H og </w:t>
      </w:r>
      <w:proofErr w:type="spellStart"/>
      <w:r w:rsidRPr="000A75ED">
        <w:rPr>
          <w:rFonts w:ascii="Times New Roman" w:hAnsi="Times New Roman" w:cs="Times New Roman"/>
          <w:bCs/>
        </w:rPr>
        <w:t>UfR</w:t>
      </w:r>
      <w:proofErr w:type="spellEnd"/>
      <w:r w:rsidRPr="000A75ED">
        <w:rPr>
          <w:rFonts w:ascii="Times New Roman" w:hAnsi="Times New Roman" w:cs="Times New Roman"/>
          <w:bCs/>
        </w:rPr>
        <w:t xml:space="preserve"> 2002.1523H, ikke </w:t>
      </w:r>
      <w:r w:rsidRPr="000A75ED">
        <w:rPr>
          <w:rFonts w:ascii="Times New Roman" w:hAnsi="Times New Roman" w:cs="Times New Roman"/>
        </w:rPr>
        <w:t xml:space="preserve">er egnet til at rejse tvivl om dommerens fuldstændige upartiskhed, jf. retsplejelovens § 61.  </w:t>
      </w:r>
    </w:p>
    <w:p w14:paraId="3E88F471" w14:textId="77777777" w:rsidR="000A75ED" w:rsidRPr="000A75ED" w:rsidRDefault="000A75ED" w:rsidP="000A75ED">
      <w:pPr>
        <w:spacing w:line="276" w:lineRule="auto"/>
        <w:contextualSpacing/>
        <w:rPr>
          <w:rFonts w:ascii="Times New Roman" w:hAnsi="Times New Roman" w:cs="Times New Roman"/>
        </w:rPr>
      </w:pPr>
    </w:p>
    <w:p w14:paraId="271663C0" w14:textId="77777777" w:rsidR="000A75ED" w:rsidRPr="000A75ED" w:rsidRDefault="000A75ED" w:rsidP="000A75ED">
      <w:pPr>
        <w:spacing w:line="276" w:lineRule="auto"/>
        <w:contextualSpacing/>
        <w:rPr>
          <w:rFonts w:ascii="Times New Roman" w:hAnsi="Times New Roman" w:cs="Times New Roman"/>
          <w:b/>
          <w:bCs/>
          <w:i/>
          <w:iCs/>
        </w:rPr>
      </w:pPr>
      <w:r w:rsidRPr="000A75ED">
        <w:rPr>
          <w:rFonts w:ascii="Times New Roman" w:hAnsi="Times New Roman" w:cs="Times New Roman"/>
          <w:b/>
          <w:bCs/>
          <w:i/>
          <w:iCs/>
        </w:rPr>
        <w:t xml:space="preserve">Realiteten </w:t>
      </w:r>
    </w:p>
    <w:p w14:paraId="20FD8848" w14:textId="77777777" w:rsidR="000A75ED" w:rsidRPr="000A75ED" w:rsidRDefault="000A75ED" w:rsidP="000A75ED">
      <w:pPr>
        <w:spacing w:line="276" w:lineRule="auto"/>
        <w:contextualSpacing/>
        <w:rPr>
          <w:rFonts w:ascii="Times New Roman" w:hAnsi="Times New Roman" w:cs="Times New Roman"/>
          <w:i/>
          <w:iCs/>
        </w:rPr>
      </w:pPr>
      <w:r w:rsidRPr="000A75ED">
        <w:rPr>
          <w:rFonts w:ascii="Times New Roman" w:hAnsi="Times New Roman" w:cs="Times New Roman"/>
          <w:i/>
          <w:iCs/>
        </w:rPr>
        <w:t>Krænkelsesspørgsmålet</w:t>
      </w:r>
    </w:p>
    <w:p w14:paraId="3961E93B" w14:textId="15532B2F" w:rsidR="000A75ED" w:rsidRPr="000A75ED" w:rsidRDefault="000A75ED" w:rsidP="000A75ED">
      <w:pPr>
        <w:spacing w:line="276" w:lineRule="auto"/>
        <w:contextualSpacing/>
        <w:rPr>
          <w:rFonts w:ascii="Times New Roman" w:hAnsi="Times New Roman" w:cs="Times New Roman"/>
        </w:rPr>
      </w:pPr>
      <w:r w:rsidRPr="000A75ED">
        <w:rPr>
          <w:rFonts w:ascii="Times New Roman" w:hAnsi="Times New Roman" w:cs="Times New Roman"/>
        </w:rPr>
        <w:t xml:space="preserve">Det er også for landsretten ubestridt, at de HPE-produkter, som </w:t>
      </w:r>
      <w:r w:rsidR="00133C12">
        <w:rPr>
          <w:rFonts w:ascii="Times New Roman" w:hAnsi="Times New Roman" w:cs="Times New Roman"/>
        </w:rPr>
        <w:t>B</w:t>
      </w:r>
      <w:r w:rsidRPr="000A75ED">
        <w:rPr>
          <w:rFonts w:ascii="Times New Roman" w:hAnsi="Times New Roman" w:cs="Times New Roman"/>
        </w:rPr>
        <w:t xml:space="preserve"> har solgt inden for EØS, har været påført </w:t>
      </w:r>
      <w:proofErr w:type="spellStart"/>
      <w:r w:rsidRPr="000A75ED">
        <w:rPr>
          <w:rFonts w:ascii="Times New Roman" w:hAnsi="Times New Roman" w:cs="Times New Roman"/>
        </w:rPr>
        <w:t>HPE’s</w:t>
      </w:r>
      <w:proofErr w:type="spellEnd"/>
      <w:r w:rsidRPr="000A75ED">
        <w:rPr>
          <w:rFonts w:ascii="Times New Roman" w:hAnsi="Times New Roman" w:cs="Times New Roman"/>
        </w:rPr>
        <w:t xml:space="preserve"> EU-varemærker.</w:t>
      </w:r>
    </w:p>
    <w:p w14:paraId="7C3D4350" w14:textId="77777777" w:rsidR="000A75ED" w:rsidRPr="000A75ED" w:rsidRDefault="000A75ED" w:rsidP="000A75ED">
      <w:pPr>
        <w:spacing w:line="276" w:lineRule="auto"/>
        <w:contextualSpacing/>
        <w:rPr>
          <w:rFonts w:ascii="Times New Roman" w:hAnsi="Times New Roman" w:cs="Times New Roman"/>
        </w:rPr>
      </w:pPr>
    </w:p>
    <w:p w14:paraId="554C4DD2" w14:textId="52A6B0F6" w:rsidR="000A75ED" w:rsidRPr="000A75ED" w:rsidRDefault="000A75ED" w:rsidP="000A75ED">
      <w:pPr>
        <w:spacing w:line="276" w:lineRule="auto"/>
        <w:contextualSpacing/>
        <w:rPr>
          <w:rFonts w:ascii="Times New Roman" w:hAnsi="Times New Roman" w:cs="Times New Roman"/>
        </w:rPr>
      </w:pPr>
      <w:r w:rsidRPr="000A75ED">
        <w:rPr>
          <w:rFonts w:ascii="Times New Roman" w:hAnsi="Times New Roman" w:cs="Times New Roman"/>
        </w:rPr>
        <w:t xml:space="preserve">Efter det foretagne syn og skøn lægger landsretten i overensstemmelse med skønsmandens svar på spørgsmål 2 til grund, at </w:t>
      </w:r>
      <w:r w:rsidR="00133C12">
        <w:rPr>
          <w:rFonts w:ascii="Times New Roman" w:hAnsi="Times New Roman" w:cs="Times New Roman"/>
        </w:rPr>
        <w:t>B</w:t>
      </w:r>
      <w:r w:rsidRPr="000A75ED">
        <w:rPr>
          <w:rFonts w:ascii="Times New Roman" w:hAnsi="Times New Roman" w:cs="Times New Roman"/>
        </w:rPr>
        <w:t xml:space="preserve"> fra stiftelsen den 23. juni 2016 og til bevissikringen den 12. december 2019 </w:t>
      </w:r>
      <w:bookmarkStart w:id="1" w:name="_Hlk207883992"/>
      <w:r w:rsidRPr="000A75ED">
        <w:rPr>
          <w:rFonts w:ascii="Times New Roman" w:hAnsi="Times New Roman" w:cs="Times New Roman"/>
        </w:rPr>
        <w:t xml:space="preserve">har haft en omsætning vedrørende HPE-produkter, som </w:t>
      </w:r>
      <w:r w:rsidR="00133C12">
        <w:rPr>
          <w:rFonts w:ascii="Times New Roman" w:hAnsi="Times New Roman" w:cs="Times New Roman"/>
        </w:rPr>
        <w:t>B</w:t>
      </w:r>
      <w:r w:rsidRPr="000A75ED">
        <w:rPr>
          <w:rFonts w:ascii="Times New Roman" w:hAnsi="Times New Roman" w:cs="Times New Roman"/>
        </w:rPr>
        <w:t xml:space="preserve"> har købt uden for EØS og herefter solgt inden for EØS, på 100.436.872,54 kr., </w:t>
      </w:r>
      <w:bookmarkEnd w:id="1"/>
      <w:r w:rsidRPr="000A75ED">
        <w:rPr>
          <w:rFonts w:ascii="Times New Roman" w:hAnsi="Times New Roman" w:cs="Times New Roman"/>
        </w:rPr>
        <w:t xml:space="preserve">og at salget af de pågældende produkter har givet </w:t>
      </w:r>
      <w:r w:rsidR="00133C12">
        <w:rPr>
          <w:rFonts w:ascii="Times New Roman" w:hAnsi="Times New Roman" w:cs="Times New Roman"/>
        </w:rPr>
        <w:t>B</w:t>
      </w:r>
      <w:r w:rsidRPr="000A75ED">
        <w:rPr>
          <w:rFonts w:ascii="Times New Roman" w:hAnsi="Times New Roman" w:cs="Times New Roman"/>
        </w:rPr>
        <w:t xml:space="preserve"> et dækningsbidrag på 11.226.798,47 kr., jf. svaret på spørgsmål 3. Det fremgår af skønsmandens svar på spørgsmål 4, at det beregnede dækningsbidrag ikke tager højde for alle </w:t>
      </w:r>
      <w:r w:rsidR="00133C12">
        <w:rPr>
          <w:rFonts w:ascii="Times New Roman" w:hAnsi="Times New Roman" w:cs="Times New Roman"/>
        </w:rPr>
        <w:t>B’</w:t>
      </w:r>
      <w:r w:rsidRPr="000A75ED">
        <w:rPr>
          <w:rFonts w:ascii="Times New Roman" w:hAnsi="Times New Roman" w:cs="Times New Roman"/>
        </w:rPr>
        <w:t xml:space="preserve">s variable </w:t>
      </w:r>
      <w:r w:rsidRPr="000A75ED">
        <w:rPr>
          <w:rFonts w:ascii="Times New Roman" w:hAnsi="Times New Roman" w:cs="Times New Roman"/>
        </w:rPr>
        <w:lastRenderedPageBreak/>
        <w:t xml:space="preserve">omkostninger, idet det alene er købsprisen for varerne, som er kendt. Det har ifølge skønsmandens svar på supplerende spørgsmål 1 (spørgsmål 10) ikke været muligt at beregne størrelsen af den reelle dækningsgrad som følge af utilstrækkelig dokumentation for virksomhedens øvrige variable omkostninger (fragt mv.). Ifølge skønsmandens svar på spørgsmål 7 kan det ikke på det for ham foreliggende grundlag konkluderes, hvilken indtjening </w:t>
      </w:r>
      <w:r w:rsidR="00133C12">
        <w:rPr>
          <w:rFonts w:ascii="Times New Roman" w:hAnsi="Times New Roman" w:cs="Times New Roman"/>
        </w:rPr>
        <w:t>A</w:t>
      </w:r>
      <w:r w:rsidRPr="000A75ED">
        <w:rPr>
          <w:rFonts w:ascii="Times New Roman" w:hAnsi="Times New Roman" w:cs="Times New Roman"/>
        </w:rPr>
        <w:t xml:space="preserve"> har haft fra </w:t>
      </w:r>
      <w:r w:rsidR="00133C12">
        <w:rPr>
          <w:rFonts w:ascii="Times New Roman" w:hAnsi="Times New Roman" w:cs="Times New Roman"/>
        </w:rPr>
        <w:t>B</w:t>
      </w:r>
      <w:r w:rsidRPr="000A75ED">
        <w:rPr>
          <w:rFonts w:ascii="Times New Roman" w:hAnsi="Times New Roman" w:cs="Times New Roman"/>
        </w:rPr>
        <w:t xml:space="preserve"> som direktør og ejer af selskabet, da dette ikke kan udledes af de fra hende modtagne årsopgørelser for 2016-2021 og de offentliggjorte årsrapporter for </w:t>
      </w:r>
      <w:r w:rsidR="00133C12">
        <w:rPr>
          <w:rFonts w:ascii="Times New Roman" w:hAnsi="Times New Roman" w:cs="Times New Roman"/>
        </w:rPr>
        <w:t>B</w:t>
      </w:r>
      <w:r w:rsidRPr="000A75ED">
        <w:rPr>
          <w:rFonts w:ascii="Times New Roman" w:hAnsi="Times New Roman" w:cs="Times New Roman"/>
        </w:rPr>
        <w:t xml:space="preserve"> for samme periode. Det er i svaret angivet, hvilken lønindkomst og hvilket aktieudbytte </w:t>
      </w:r>
      <w:r w:rsidR="00133C12">
        <w:rPr>
          <w:rFonts w:ascii="Times New Roman" w:hAnsi="Times New Roman" w:cs="Times New Roman"/>
        </w:rPr>
        <w:t>A</w:t>
      </w:r>
      <w:r w:rsidRPr="000A75ED">
        <w:rPr>
          <w:rFonts w:ascii="Times New Roman" w:hAnsi="Times New Roman" w:cs="Times New Roman"/>
        </w:rPr>
        <w:t xml:space="preserve"> ifølge årsopgørelserne har haft i de pågældende år. Skønsmanden har endvidere bemærket, at det forhold, at </w:t>
      </w:r>
      <w:r w:rsidR="00133C12">
        <w:rPr>
          <w:rFonts w:ascii="Times New Roman" w:hAnsi="Times New Roman" w:cs="Times New Roman"/>
        </w:rPr>
        <w:t>B</w:t>
      </w:r>
      <w:r w:rsidRPr="000A75ED">
        <w:rPr>
          <w:rFonts w:ascii="Times New Roman" w:hAnsi="Times New Roman" w:cs="Times New Roman"/>
        </w:rPr>
        <w:t xml:space="preserve"> overgik fra at være ejet af </w:t>
      </w:r>
      <w:r w:rsidR="00133C12">
        <w:rPr>
          <w:rFonts w:ascii="Times New Roman" w:hAnsi="Times New Roman" w:cs="Times New Roman"/>
        </w:rPr>
        <w:t>A</w:t>
      </w:r>
      <w:r w:rsidRPr="000A75ED">
        <w:rPr>
          <w:rFonts w:ascii="Times New Roman" w:hAnsi="Times New Roman" w:cs="Times New Roman"/>
        </w:rPr>
        <w:t xml:space="preserve"> til at være ejet af et af hende ejet holdingselskab, vurderes at være årsagen til, at det udbytte, som fremgår af resultatdisponeringen for årsrapporten for 2019 for </w:t>
      </w:r>
      <w:r w:rsidR="00133C12">
        <w:rPr>
          <w:rFonts w:ascii="Times New Roman" w:hAnsi="Times New Roman" w:cs="Times New Roman"/>
        </w:rPr>
        <w:t>B</w:t>
      </w:r>
      <w:r w:rsidRPr="000A75ED">
        <w:rPr>
          <w:rFonts w:ascii="Times New Roman" w:hAnsi="Times New Roman" w:cs="Times New Roman"/>
        </w:rPr>
        <w:t xml:space="preserve">, hvor der udloddes udbytte på 1.100.000 kr. og ekstraordinært udbytte på 3.250.000 kr., ikke fremgår som aktieindkomst på årsopgørelsen fra Skattestyrelsen for </w:t>
      </w:r>
      <w:r w:rsidR="00133C12">
        <w:rPr>
          <w:rFonts w:ascii="Times New Roman" w:hAnsi="Times New Roman" w:cs="Times New Roman"/>
        </w:rPr>
        <w:t>A</w:t>
      </w:r>
      <w:r w:rsidRPr="000A75ED">
        <w:rPr>
          <w:rFonts w:ascii="Times New Roman" w:hAnsi="Times New Roman" w:cs="Times New Roman"/>
        </w:rPr>
        <w:t xml:space="preserve">. Skønsmanden antager herved, at det udelukkende er 450.000 kr. af dette udbytte, som er udloddet til </w:t>
      </w:r>
      <w:r w:rsidR="00133C12">
        <w:rPr>
          <w:rFonts w:ascii="Times New Roman" w:hAnsi="Times New Roman" w:cs="Times New Roman"/>
        </w:rPr>
        <w:t>A</w:t>
      </w:r>
      <w:r w:rsidRPr="000A75ED">
        <w:rPr>
          <w:rFonts w:ascii="Times New Roman" w:hAnsi="Times New Roman" w:cs="Times New Roman"/>
        </w:rPr>
        <w:t xml:space="preserve">, mens det resterende udbytte antages at være udloddet til det holdingselskab, som er ejet af </w:t>
      </w:r>
      <w:r w:rsidR="00133C12">
        <w:rPr>
          <w:rFonts w:ascii="Times New Roman" w:hAnsi="Times New Roman" w:cs="Times New Roman"/>
        </w:rPr>
        <w:t>A</w:t>
      </w:r>
      <w:r w:rsidRPr="000A75ED">
        <w:rPr>
          <w:rFonts w:ascii="Times New Roman" w:hAnsi="Times New Roman" w:cs="Times New Roman"/>
        </w:rPr>
        <w:t xml:space="preserve">. Udbyttet på 55.300 kr. i 2021 antages endvidere at være udbytte til </w:t>
      </w:r>
      <w:r w:rsidR="00133C12">
        <w:rPr>
          <w:rFonts w:ascii="Times New Roman" w:hAnsi="Times New Roman" w:cs="Times New Roman"/>
        </w:rPr>
        <w:t>A</w:t>
      </w:r>
      <w:r w:rsidRPr="000A75ED">
        <w:rPr>
          <w:rFonts w:ascii="Times New Roman" w:hAnsi="Times New Roman" w:cs="Times New Roman"/>
        </w:rPr>
        <w:t xml:space="preserve"> fra det nævnte holdingselskab.</w:t>
      </w:r>
    </w:p>
    <w:p w14:paraId="6B525192" w14:textId="77777777" w:rsidR="000A75ED" w:rsidRPr="000A75ED" w:rsidRDefault="000A75ED" w:rsidP="000A75ED">
      <w:pPr>
        <w:spacing w:line="276" w:lineRule="auto"/>
        <w:contextualSpacing/>
        <w:rPr>
          <w:rFonts w:ascii="Times New Roman" w:hAnsi="Times New Roman" w:cs="Times New Roman"/>
        </w:rPr>
      </w:pPr>
    </w:p>
    <w:p w14:paraId="5010378A" w14:textId="20722133" w:rsidR="000A75ED" w:rsidRPr="000A75ED" w:rsidRDefault="000A75ED" w:rsidP="000A75ED">
      <w:pPr>
        <w:spacing w:line="276" w:lineRule="auto"/>
        <w:contextualSpacing/>
        <w:rPr>
          <w:rFonts w:ascii="Times New Roman" w:hAnsi="Times New Roman" w:cs="Times New Roman"/>
        </w:rPr>
      </w:pPr>
      <w:proofErr w:type="spellStart"/>
      <w:r w:rsidRPr="000A75ED">
        <w:rPr>
          <w:rFonts w:ascii="Times New Roman" w:hAnsi="Times New Roman" w:cs="Times New Roman"/>
        </w:rPr>
        <w:t>HPE’s</w:t>
      </w:r>
      <w:proofErr w:type="spellEnd"/>
      <w:r w:rsidRPr="000A75ED">
        <w:rPr>
          <w:rFonts w:ascii="Times New Roman" w:hAnsi="Times New Roman" w:cs="Times New Roman"/>
        </w:rPr>
        <w:t xml:space="preserve"> krav på økonomisk kompensation angår for landsretten de HPE-produkter, som </w:t>
      </w:r>
      <w:r w:rsidR="00133C12">
        <w:rPr>
          <w:rFonts w:ascii="Times New Roman" w:hAnsi="Times New Roman" w:cs="Times New Roman"/>
        </w:rPr>
        <w:t>B</w:t>
      </w:r>
      <w:r w:rsidRPr="000A75ED">
        <w:rPr>
          <w:rFonts w:ascii="Times New Roman" w:hAnsi="Times New Roman" w:cs="Times New Roman"/>
        </w:rPr>
        <w:t xml:space="preserve"> ifølge skønsmandens svar på spørgsmål 1 og 3, jf. spørgsmål 4, har købt uden for EØS og herefter solgt inden for EØS med en omsætning på 100.436.872,54 kr. og det af skønsmanden beregnede dækningsbidrag uden fradrag af alle variable omkostninger på 11.226.798,47 kr. til følge. </w:t>
      </w:r>
    </w:p>
    <w:p w14:paraId="192F7962" w14:textId="77777777" w:rsidR="000A75ED" w:rsidRPr="000A75ED" w:rsidRDefault="000A75ED" w:rsidP="000A75ED">
      <w:pPr>
        <w:spacing w:line="276" w:lineRule="auto"/>
        <w:contextualSpacing/>
        <w:rPr>
          <w:rFonts w:ascii="Times New Roman" w:hAnsi="Times New Roman" w:cs="Times New Roman"/>
        </w:rPr>
      </w:pPr>
    </w:p>
    <w:p w14:paraId="4D506CAF" w14:textId="77777777" w:rsidR="000A75ED" w:rsidRPr="000A75ED" w:rsidRDefault="000A75ED" w:rsidP="000A75ED">
      <w:pPr>
        <w:spacing w:line="276" w:lineRule="auto"/>
        <w:contextualSpacing/>
        <w:rPr>
          <w:rFonts w:ascii="Times New Roman" w:hAnsi="Times New Roman" w:cs="Times New Roman"/>
        </w:rPr>
      </w:pPr>
      <w:r w:rsidRPr="000A75ED">
        <w:rPr>
          <w:rFonts w:ascii="Times New Roman" w:hAnsi="Times New Roman" w:cs="Times New Roman"/>
        </w:rPr>
        <w:t xml:space="preserve">I det omfang de enkelte produkter ikke har været markedsført inden for EØS af HPE eller med </w:t>
      </w:r>
      <w:proofErr w:type="spellStart"/>
      <w:r w:rsidRPr="000A75ED">
        <w:rPr>
          <w:rFonts w:ascii="Times New Roman" w:hAnsi="Times New Roman" w:cs="Times New Roman"/>
        </w:rPr>
        <w:t>HPE’s</w:t>
      </w:r>
      <w:proofErr w:type="spellEnd"/>
      <w:r w:rsidRPr="000A75ED">
        <w:rPr>
          <w:rFonts w:ascii="Times New Roman" w:hAnsi="Times New Roman" w:cs="Times New Roman"/>
        </w:rPr>
        <w:t xml:space="preserve"> samtykke, er der ikke sket konsumption efter artikel 15 i Europa-Parlaments og Rådets forordning (EU) 2017/1001 af 14. juni 2017 om EU-varemærker (kodifikation) (varemærkeforordningen), og HPE kan dermed forbyde salg af disse produkter under </w:t>
      </w:r>
      <w:proofErr w:type="spellStart"/>
      <w:r w:rsidRPr="000A75ED">
        <w:rPr>
          <w:rFonts w:ascii="Times New Roman" w:hAnsi="Times New Roman" w:cs="Times New Roman"/>
        </w:rPr>
        <w:t>HPE’s</w:t>
      </w:r>
      <w:proofErr w:type="spellEnd"/>
      <w:r w:rsidRPr="000A75ED">
        <w:rPr>
          <w:rFonts w:ascii="Times New Roman" w:hAnsi="Times New Roman" w:cs="Times New Roman"/>
        </w:rPr>
        <w:t xml:space="preserve"> varemærker inden for EØS, jf. artikel 9 i varemærkeforordningen.  </w:t>
      </w:r>
    </w:p>
    <w:p w14:paraId="21664560" w14:textId="77777777" w:rsidR="000A75ED" w:rsidRPr="000A75ED" w:rsidRDefault="000A75ED" w:rsidP="000A75ED">
      <w:pPr>
        <w:spacing w:line="276" w:lineRule="auto"/>
        <w:contextualSpacing/>
        <w:rPr>
          <w:rFonts w:ascii="Times New Roman" w:hAnsi="Times New Roman" w:cs="Times New Roman"/>
        </w:rPr>
      </w:pPr>
    </w:p>
    <w:p w14:paraId="6B803882" w14:textId="77777777" w:rsidR="000A75ED" w:rsidRPr="000A75ED" w:rsidRDefault="000A75ED" w:rsidP="000A75ED">
      <w:pPr>
        <w:spacing w:line="276" w:lineRule="auto"/>
        <w:contextualSpacing/>
        <w:rPr>
          <w:rFonts w:ascii="Times New Roman" w:hAnsi="Times New Roman" w:cs="Times New Roman"/>
        </w:rPr>
      </w:pPr>
      <w:r w:rsidRPr="000A75ED">
        <w:rPr>
          <w:rFonts w:ascii="Times New Roman" w:hAnsi="Times New Roman" w:cs="Times New Roman"/>
        </w:rPr>
        <w:t xml:space="preserve">Det følger af EU-Domstolens praksis, jf. senest dom af 18. januar 2024 i sag C-367/21 (Hewlett Packard Development Company), præmis 60, at det af Sø- og Handelsretten anførte udgangspunkt om, at den sagsøgte i krænkelsessøgsmål som det foreliggende har bevisbyrden for, at varerne er markedsført inden for EØS af varemærkeindehaveren eller med dennes samtykke, skal fraviges, såfremt den sagsøgte godtgør, at der består en reel risiko for opdeling af de nationale markeder, hvis den sagsøgte selv bærer bevisbyrden for, at varerne er markedsført inden for EØS af varemærkeindehaveren eller med dennes samtykke. I så fald skal fordelingen af </w:t>
      </w:r>
      <w:bookmarkStart w:id="2" w:name="_Hlk207883767"/>
      <w:r w:rsidRPr="000A75ED">
        <w:rPr>
          <w:rFonts w:ascii="Times New Roman" w:hAnsi="Times New Roman" w:cs="Times New Roman"/>
        </w:rPr>
        <w:t>bevisbyrden for, at der er indtrådt konsumption af de rettigheder, der er knyttet til varemærket, tilpasses</w:t>
      </w:r>
      <w:bookmarkEnd w:id="2"/>
      <w:r w:rsidRPr="000A75ED">
        <w:rPr>
          <w:rFonts w:ascii="Times New Roman" w:hAnsi="Times New Roman" w:cs="Times New Roman"/>
        </w:rPr>
        <w:t>.</w:t>
      </w:r>
    </w:p>
    <w:p w14:paraId="3104BBC1" w14:textId="77777777" w:rsidR="000A75ED" w:rsidRPr="000A75ED" w:rsidRDefault="000A75ED" w:rsidP="000A75ED">
      <w:pPr>
        <w:spacing w:line="276" w:lineRule="auto"/>
        <w:contextualSpacing/>
        <w:rPr>
          <w:rFonts w:ascii="Times New Roman" w:hAnsi="Times New Roman" w:cs="Times New Roman"/>
        </w:rPr>
      </w:pPr>
    </w:p>
    <w:p w14:paraId="1DA39D94" w14:textId="77777777" w:rsidR="000A75ED" w:rsidRPr="000A75ED" w:rsidRDefault="000A75ED" w:rsidP="000A75ED">
      <w:pPr>
        <w:spacing w:line="276" w:lineRule="auto"/>
        <w:contextualSpacing/>
        <w:rPr>
          <w:rFonts w:ascii="Times New Roman" w:hAnsi="Times New Roman" w:cs="Times New Roman"/>
        </w:rPr>
      </w:pPr>
      <w:r w:rsidRPr="000A75ED">
        <w:rPr>
          <w:rFonts w:ascii="Times New Roman" w:hAnsi="Times New Roman" w:cs="Times New Roman"/>
        </w:rPr>
        <w:t xml:space="preserve">Det fremgår af de fremlagte General Terms pkt. 4.6.3, at HPE-forhandlere i EØS og Schweitz må sælge HPE-produkter i hele dette område, men ikke ud af området, mens forhandlere i resten af verden alene må sælge i det land, hvor de er registrerede. Da </w:t>
      </w:r>
      <w:proofErr w:type="spellStart"/>
      <w:r w:rsidRPr="000A75ED">
        <w:rPr>
          <w:rFonts w:ascii="Times New Roman" w:hAnsi="Times New Roman" w:cs="Times New Roman"/>
        </w:rPr>
        <w:t>HPE’s</w:t>
      </w:r>
      <w:proofErr w:type="spellEnd"/>
      <w:r w:rsidRPr="000A75ED">
        <w:rPr>
          <w:rFonts w:ascii="Times New Roman" w:hAnsi="Times New Roman" w:cs="Times New Roman"/>
        </w:rPr>
        <w:t xml:space="preserve"> selektive distributionssystem dermed ikke giver nogen områdebeskyttelse inden for EØS, synes der umiddelbart ikke at være reel risiko for opdeling af de nationale markeder i EØS. </w:t>
      </w:r>
    </w:p>
    <w:p w14:paraId="28E0EEAA" w14:textId="77777777" w:rsidR="000A75ED" w:rsidRPr="000A75ED" w:rsidRDefault="000A75ED" w:rsidP="000A75ED">
      <w:pPr>
        <w:spacing w:line="276" w:lineRule="auto"/>
        <w:contextualSpacing/>
        <w:rPr>
          <w:rFonts w:ascii="Times New Roman" w:hAnsi="Times New Roman" w:cs="Times New Roman"/>
        </w:rPr>
      </w:pPr>
    </w:p>
    <w:p w14:paraId="5830B690" w14:textId="77777777" w:rsidR="000A75ED" w:rsidRPr="000A75ED" w:rsidRDefault="000A75ED" w:rsidP="000A75ED">
      <w:pPr>
        <w:spacing w:line="276" w:lineRule="auto"/>
        <w:contextualSpacing/>
        <w:rPr>
          <w:rFonts w:ascii="Times New Roman" w:hAnsi="Times New Roman" w:cs="Times New Roman"/>
        </w:rPr>
      </w:pPr>
      <w:r w:rsidRPr="000A75ED">
        <w:rPr>
          <w:rFonts w:ascii="Times New Roman" w:hAnsi="Times New Roman" w:cs="Times New Roman"/>
        </w:rPr>
        <w:t xml:space="preserve">I dommen i sag C-367/21 blev det imidlertid på baggrund af det for Domstolen oplyste om </w:t>
      </w:r>
      <w:proofErr w:type="spellStart"/>
      <w:r w:rsidRPr="000A75ED">
        <w:rPr>
          <w:rFonts w:ascii="Times New Roman" w:hAnsi="Times New Roman" w:cs="Times New Roman"/>
        </w:rPr>
        <w:t>HPE’s</w:t>
      </w:r>
      <w:proofErr w:type="spellEnd"/>
      <w:r w:rsidRPr="000A75ED">
        <w:rPr>
          <w:rFonts w:ascii="Times New Roman" w:hAnsi="Times New Roman" w:cs="Times New Roman"/>
        </w:rPr>
        <w:t xml:space="preserve"> selektive distributionssystem i præmis 67 fastslået, at bevisbyrden for, at der er indtrådt konsumption af de rettigheder, der er knyttet til et EU-varemærke, ikke udelukkende kan påhvile sagsøgte i et krænkelsessøgsmål, når de varer, der er forsynet med dette varemærke, som ikke har nogen tegn, der gør det muligt for tredjemand at identificere det marked, hvorpå varerne er tiltænkt at skulle bringes i omsætning, og som distribueres via et selektivt distributionsnet, hvis deltagere kun kan videresælge dem til andre deltagere i dette net eller til slutbrugere, er købt af sagsøgte i Unionen eller i EØS, efter at den sagsøgte har opnået forsikring fra sælgerne om, at disse varer kan markedsføres lovligt dér, og at varemærkeindehaveren på køberens anmodning har nægtet selv at foretage denne kontrol.</w:t>
      </w:r>
    </w:p>
    <w:p w14:paraId="5FD8A51A" w14:textId="77777777" w:rsidR="000A75ED" w:rsidRPr="000A75ED" w:rsidRDefault="000A75ED" w:rsidP="000A75ED">
      <w:pPr>
        <w:spacing w:line="276" w:lineRule="auto"/>
        <w:contextualSpacing/>
        <w:rPr>
          <w:rFonts w:ascii="Times New Roman" w:hAnsi="Times New Roman" w:cs="Times New Roman"/>
        </w:rPr>
      </w:pPr>
    </w:p>
    <w:p w14:paraId="1542BAC7" w14:textId="15ABF02D" w:rsidR="000A75ED" w:rsidRPr="000A75ED" w:rsidRDefault="000A75ED" w:rsidP="000A75ED">
      <w:pPr>
        <w:spacing w:line="276" w:lineRule="auto"/>
        <w:contextualSpacing/>
        <w:rPr>
          <w:rFonts w:ascii="Times New Roman" w:hAnsi="Times New Roman" w:cs="Times New Roman"/>
        </w:rPr>
      </w:pPr>
      <w:r w:rsidRPr="000A75ED">
        <w:rPr>
          <w:rFonts w:ascii="Times New Roman" w:hAnsi="Times New Roman" w:cs="Times New Roman"/>
        </w:rPr>
        <w:t xml:space="preserve">Landsretten bemærker, at de HPE-produkter, for hvilke HPE kræver erstatning og vederlag i denne sag – i modsætning til i sag C-367/21, hvor varerne var købt inden for EØS − ubestridt er købt uden for EØS og herefter solgt i EØS. Der er endvidere intet i sagen, som understøtter, at </w:t>
      </w:r>
      <w:r w:rsidR="00133C12">
        <w:rPr>
          <w:rFonts w:ascii="Times New Roman" w:hAnsi="Times New Roman" w:cs="Times New Roman"/>
        </w:rPr>
        <w:t>B</w:t>
      </w:r>
      <w:r w:rsidRPr="000A75ED">
        <w:rPr>
          <w:rFonts w:ascii="Times New Roman" w:hAnsi="Times New Roman" w:cs="Times New Roman"/>
        </w:rPr>
        <w:t xml:space="preserve"> eller </w:t>
      </w:r>
      <w:r w:rsidR="00133C12">
        <w:rPr>
          <w:rFonts w:ascii="Times New Roman" w:hAnsi="Times New Roman" w:cs="Times New Roman"/>
        </w:rPr>
        <w:t>A</w:t>
      </w:r>
      <w:r w:rsidRPr="000A75ED">
        <w:rPr>
          <w:rFonts w:ascii="Times New Roman" w:hAnsi="Times New Roman" w:cs="Times New Roman"/>
        </w:rPr>
        <w:t xml:space="preserve"> på noget tidspunkt har forsøgt at undersøge eller sikre, at de uden for EØS købte HPE-produkter oprindeligt skulle have været markedsført inden for EØS af HPE eller med </w:t>
      </w:r>
      <w:proofErr w:type="spellStart"/>
      <w:r w:rsidRPr="000A75ED">
        <w:rPr>
          <w:rFonts w:ascii="Times New Roman" w:hAnsi="Times New Roman" w:cs="Times New Roman"/>
        </w:rPr>
        <w:t>HPE’s</w:t>
      </w:r>
      <w:proofErr w:type="spellEnd"/>
      <w:r w:rsidRPr="000A75ED">
        <w:rPr>
          <w:rFonts w:ascii="Times New Roman" w:hAnsi="Times New Roman" w:cs="Times New Roman"/>
        </w:rPr>
        <w:t xml:space="preserve"> samtykke, eller at HPE i øvrigt har samtykket i, at de sælges inden for EØS, f.eks. ved at opnå en </w:t>
      </w:r>
      <w:proofErr w:type="spellStart"/>
      <w:r w:rsidRPr="000A75ED">
        <w:rPr>
          <w:rFonts w:ascii="Times New Roman" w:hAnsi="Times New Roman" w:cs="Times New Roman"/>
        </w:rPr>
        <w:t>tilsikring</w:t>
      </w:r>
      <w:proofErr w:type="spellEnd"/>
      <w:r w:rsidRPr="000A75ED">
        <w:rPr>
          <w:rFonts w:ascii="Times New Roman" w:hAnsi="Times New Roman" w:cs="Times New Roman"/>
        </w:rPr>
        <w:t xml:space="preserve"> herom eller kræve nærmere dokumentation herfor fra </w:t>
      </w:r>
      <w:r w:rsidR="00133C12">
        <w:rPr>
          <w:rFonts w:ascii="Times New Roman" w:hAnsi="Times New Roman" w:cs="Times New Roman"/>
        </w:rPr>
        <w:t>B’</w:t>
      </w:r>
      <w:r w:rsidRPr="000A75ED">
        <w:rPr>
          <w:rFonts w:ascii="Times New Roman" w:hAnsi="Times New Roman" w:cs="Times New Roman"/>
        </w:rPr>
        <w:t xml:space="preserve">s samhandelsparterne. Der er heller ikke oplysninger om, at </w:t>
      </w:r>
      <w:r w:rsidR="00133C12">
        <w:rPr>
          <w:rFonts w:ascii="Times New Roman" w:hAnsi="Times New Roman" w:cs="Times New Roman"/>
        </w:rPr>
        <w:t>B</w:t>
      </w:r>
      <w:r w:rsidRPr="000A75ED">
        <w:rPr>
          <w:rFonts w:ascii="Times New Roman" w:hAnsi="Times New Roman" w:cs="Times New Roman"/>
        </w:rPr>
        <w:t xml:space="preserve"> eller </w:t>
      </w:r>
      <w:r w:rsidR="00133C12">
        <w:rPr>
          <w:rFonts w:ascii="Times New Roman" w:hAnsi="Times New Roman" w:cs="Times New Roman"/>
        </w:rPr>
        <w:t>A</w:t>
      </w:r>
      <w:r w:rsidRPr="000A75ED">
        <w:rPr>
          <w:rFonts w:ascii="Times New Roman" w:hAnsi="Times New Roman" w:cs="Times New Roman"/>
        </w:rPr>
        <w:t xml:space="preserve"> har søgt at kontakte HPE for at få oplyst, om varemærkerettighederne til de konkrete HPE-produkter, som agtedes solgt inden for EØS, var konsumeret og – hvis det ikke var tilfældet − om HPE alligevel ville give samtykke til det påtænkte salg i EØS. </w:t>
      </w:r>
    </w:p>
    <w:p w14:paraId="3C042016" w14:textId="77777777" w:rsidR="000A75ED" w:rsidRPr="000A75ED" w:rsidRDefault="000A75ED" w:rsidP="000A75ED">
      <w:pPr>
        <w:spacing w:line="276" w:lineRule="auto"/>
        <w:contextualSpacing/>
        <w:rPr>
          <w:rFonts w:ascii="Times New Roman" w:hAnsi="Times New Roman" w:cs="Times New Roman"/>
        </w:rPr>
      </w:pPr>
    </w:p>
    <w:p w14:paraId="054FC3E3" w14:textId="531D7C8F" w:rsidR="000A75ED" w:rsidRPr="000A75ED" w:rsidRDefault="000A75ED" w:rsidP="000A75ED">
      <w:pPr>
        <w:spacing w:line="276" w:lineRule="auto"/>
        <w:contextualSpacing/>
        <w:rPr>
          <w:rFonts w:ascii="Times New Roman" w:hAnsi="Times New Roman" w:cs="Times New Roman"/>
        </w:rPr>
      </w:pPr>
      <w:r w:rsidRPr="000A75ED">
        <w:rPr>
          <w:rFonts w:ascii="Times New Roman" w:hAnsi="Times New Roman" w:cs="Times New Roman"/>
        </w:rPr>
        <w:t xml:space="preserve">Den korrespondance mellem </w:t>
      </w:r>
      <w:r w:rsidR="00133C12">
        <w:rPr>
          <w:rFonts w:ascii="Times New Roman" w:hAnsi="Times New Roman" w:cs="Times New Roman"/>
        </w:rPr>
        <w:t>A</w:t>
      </w:r>
      <w:r w:rsidRPr="000A75ED">
        <w:rPr>
          <w:rFonts w:ascii="Times New Roman" w:hAnsi="Times New Roman" w:cs="Times New Roman"/>
        </w:rPr>
        <w:t xml:space="preserve"> og </w:t>
      </w:r>
      <w:r w:rsidR="00133C12">
        <w:rPr>
          <w:rFonts w:ascii="Times New Roman" w:hAnsi="Times New Roman" w:cs="Times New Roman"/>
        </w:rPr>
        <w:t>B’</w:t>
      </w:r>
      <w:r w:rsidRPr="000A75ED">
        <w:rPr>
          <w:rFonts w:ascii="Times New Roman" w:hAnsi="Times New Roman" w:cs="Times New Roman"/>
        </w:rPr>
        <w:t xml:space="preserve">s leverandører uden for EØS, som </w:t>
      </w:r>
      <w:r w:rsidR="00133C12">
        <w:rPr>
          <w:rFonts w:ascii="Times New Roman" w:hAnsi="Times New Roman" w:cs="Times New Roman"/>
        </w:rPr>
        <w:t>A</w:t>
      </w:r>
      <w:r w:rsidRPr="000A75ED">
        <w:rPr>
          <w:rFonts w:ascii="Times New Roman" w:hAnsi="Times New Roman" w:cs="Times New Roman"/>
        </w:rPr>
        <w:t xml:space="preserve"> har påberåbt sig, godtgør endvidere ikke, at HPE har samtykket i, at de af </w:t>
      </w:r>
      <w:r w:rsidR="00133C12">
        <w:rPr>
          <w:rFonts w:ascii="Times New Roman" w:hAnsi="Times New Roman" w:cs="Times New Roman"/>
        </w:rPr>
        <w:t>B</w:t>
      </w:r>
      <w:r w:rsidRPr="000A75ED">
        <w:rPr>
          <w:rFonts w:ascii="Times New Roman" w:hAnsi="Times New Roman" w:cs="Times New Roman"/>
        </w:rPr>
        <w:t xml:space="preserve"> hos sådanne leverandører købte HPE-produkter skulle sælges i EØS. </w:t>
      </w:r>
      <w:r w:rsidR="00133C12">
        <w:rPr>
          <w:rFonts w:ascii="Times New Roman" w:hAnsi="Times New Roman" w:cs="Times New Roman"/>
        </w:rPr>
        <w:t>B</w:t>
      </w:r>
      <w:r w:rsidRPr="000A75ED">
        <w:rPr>
          <w:rFonts w:ascii="Times New Roman" w:hAnsi="Times New Roman" w:cs="Times New Roman"/>
        </w:rPr>
        <w:t xml:space="preserve"> og </w:t>
      </w:r>
      <w:r w:rsidR="00133C12">
        <w:rPr>
          <w:rFonts w:ascii="Times New Roman" w:hAnsi="Times New Roman" w:cs="Times New Roman"/>
        </w:rPr>
        <w:t>A</w:t>
      </w:r>
      <w:r w:rsidRPr="000A75ED">
        <w:rPr>
          <w:rFonts w:ascii="Times New Roman" w:hAnsi="Times New Roman" w:cs="Times New Roman"/>
        </w:rPr>
        <w:t xml:space="preserve"> kunne heller ikke herudfra have fået en berettiget forventning om, at det forholdt sig sådan. </w:t>
      </w:r>
    </w:p>
    <w:p w14:paraId="601A9169" w14:textId="77777777" w:rsidR="000A75ED" w:rsidRPr="000A75ED" w:rsidRDefault="000A75ED" w:rsidP="000A75ED">
      <w:pPr>
        <w:spacing w:line="276" w:lineRule="auto"/>
        <w:contextualSpacing/>
        <w:rPr>
          <w:rFonts w:ascii="Times New Roman" w:hAnsi="Times New Roman" w:cs="Times New Roman"/>
        </w:rPr>
      </w:pPr>
    </w:p>
    <w:p w14:paraId="764960F4" w14:textId="054F36A9" w:rsidR="000A75ED" w:rsidRPr="000A75ED" w:rsidRDefault="000A75ED" w:rsidP="000A75ED">
      <w:pPr>
        <w:spacing w:line="276" w:lineRule="auto"/>
        <w:contextualSpacing/>
        <w:rPr>
          <w:rFonts w:ascii="Times New Roman" w:hAnsi="Times New Roman" w:cs="Times New Roman"/>
        </w:rPr>
      </w:pPr>
      <w:r w:rsidRPr="000A75ED">
        <w:rPr>
          <w:rFonts w:ascii="Times New Roman" w:hAnsi="Times New Roman" w:cs="Times New Roman"/>
        </w:rPr>
        <w:t xml:space="preserve">Derimod viser den under bevissikringen indhentede korrespondance, herunder særligt mail af 12. april 2017 fra en singaporeansk leverandør til </w:t>
      </w:r>
      <w:r w:rsidR="00133C12">
        <w:rPr>
          <w:rFonts w:ascii="Times New Roman" w:hAnsi="Times New Roman" w:cs="Times New Roman"/>
        </w:rPr>
        <w:t>A</w:t>
      </w:r>
      <w:r w:rsidRPr="000A75ED">
        <w:rPr>
          <w:rFonts w:ascii="Times New Roman" w:hAnsi="Times New Roman" w:cs="Times New Roman"/>
        </w:rPr>
        <w:t xml:space="preserve"> om forklaring til HPE om ”leakage” og ”clear the HP audit”, korrespondance den 27. marts – 3. april 2018 fra et selskab i Dubai til </w:t>
      </w:r>
      <w:r w:rsidR="00133C12">
        <w:rPr>
          <w:rFonts w:ascii="Times New Roman" w:hAnsi="Times New Roman" w:cs="Times New Roman"/>
        </w:rPr>
        <w:t>A</w:t>
      </w:r>
      <w:r w:rsidRPr="000A75ED">
        <w:rPr>
          <w:rFonts w:ascii="Times New Roman" w:hAnsi="Times New Roman" w:cs="Times New Roman"/>
        </w:rPr>
        <w:t xml:space="preserve"> om en ordre, der aflyses, da den er blevet stoppet af HP Supply Chain ”</w:t>
      </w:r>
      <w:proofErr w:type="spellStart"/>
      <w:r w:rsidRPr="000A75ED">
        <w:rPr>
          <w:rFonts w:ascii="Times New Roman" w:hAnsi="Times New Roman" w:cs="Times New Roman"/>
        </w:rPr>
        <w:t>asking</w:t>
      </w:r>
      <w:proofErr w:type="spellEnd"/>
      <w:r w:rsidRPr="000A75ED">
        <w:rPr>
          <w:rFonts w:ascii="Times New Roman" w:hAnsi="Times New Roman" w:cs="Times New Roman"/>
        </w:rPr>
        <w:t xml:space="preserve"> </w:t>
      </w:r>
      <w:proofErr w:type="spellStart"/>
      <w:r w:rsidRPr="000A75ED">
        <w:rPr>
          <w:rFonts w:ascii="Times New Roman" w:hAnsi="Times New Roman" w:cs="Times New Roman"/>
        </w:rPr>
        <w:t>explanations</w:t>
      </w:r>
      <w:proofErr w:type="spellEnd"/>
      <w:r w:rsidRPr="000A75ED">
        <w:rPr>
          <w:rFonts w:ascii="Times New Roman" w:hAnsi="Times New Roman" w:cs="Times New Roman"/>
        </w:rPr>
        <w:t xml:space="preserve">” og ”tricky situation to </w:t>
      </w:r>
      <w:proofErr w:type="spellStart"/>
      <w:r w:rsidRPr="000A75ED">
        <w:rPr>
          <w:rFonts w:ascii="Times New Roman" w:hAnsi="Times New Roman" w:cs="Times New Roman"/>
        </w:rPr>
        <w:t>get</w:t>
      </w:r>
      <w:proofErr w:type="spellEnd"/>
      <w:r w:rsidRPr="000A75ED">
        <w:rPr>
          <w:rFonts w:ascii="Times New Roman" w:hAnsi="Times New Roman" w:cs="Times New Roman"/>
        </w:rPr>
        <w:t xml:space="preserve"> #ABB </w:t>
      </w:r>
      <w:proofErr w:type="spellStart"/>
      <w:r w:rsidRPr="000A75ED">
        <w:rPr>
          <w:rFonts w:ascii="Times New Roman" w:hAnsi="Times New Roman" w:cs="Times New Roman"/>
        </w:rPr>
        <w:t>shipped</w:t>
      </w:r>
      <w:proofErr w:type="spellEnd"/>
      <w:r w:rsidRPr="000A75ED">
        <w:rPr>
          <w:rFonts w:ascii="Times New Roman" w:hAnsi="Times New Roman" w:cs="Times New Roman"/>
        </w:rPr>
        <w:t xml:space="preserve">”, mail af 3. august 2016 fra Universal </w:t>
      </w:r>
      <w:proofErr w:type="spellStart"/>
      <w:r w:rsidRPr="000A75ED">
        <w:rPr>
          <w:rFonts w:ascii="Times New Roman" w:hAnsi="Times New Roman" w:cs="Times New Roman"/>
        </w:rPr>
        <w:t>Procurement</w:t>
      </w:r>
      <w:proofErr w:type="spellEnd"/>
      <w:r w:rsidRPr="000A75ED">
        <w:rPr>
          <w:rFonts w:ascii="Times New Roman" w:hAnsi="Times New Roman" w:cs="Times New Roman"/>
        </w:rPr>
        <w:t xml:space="preserve"> Systems PTE LTD. (</w:t>
      </w:r>
      <w:proofErr w:type="spellStart"/>
      <w:r w:rsidRPr="000A75ED">
        <w:rPr>
          <w:rFonts w:ascii="Times New Roman" w:hAnsi="Times New Roman" w:cs="Times New Roman"/>
        </w:rPr>
        <w:t>Thakral</w:t>
      </w:r>
      <w:proofErr w:type="spellEnd"/>
      <w:r w:rsidRPr="000A75ED">
        <w:rPr>
          <w:rFonts w:ascii="Times New Roman" w:hAnsi="Times New Roman" w:cs="Times New Roman"/>
        </w:rPr>
        <w:t xml:space="preserve">) til </w:t>
      </w:r>
      <w:r w:rsidR="00133C12">
        <w:rPr>
          <w:rFonts w:ascii="Times New Roman" w:hAnsi="Times New Roman" w:cs="Times New Roman"/>
        </w:rPr>
        <w:t>A</w:t>
      </w:r>
      <w:r w:rsidRPr="000A75ED">
        <w:rPr>
          <w:rFonts w:ascii="Times New Roman" w:hAnsi="Times New Roman" w:cs="Times New Roman"/>
        </w:rPr>
        <w:t xml:space="preserve"> om at fjerne labels med en ”heat gun” og korrespondancen mellem </w:t>
      </w:r>
      <w:proofErr w:type="spellStart"/>
      <w:r w:rsidRPr="000A75ED">
        <w:rPr>
          <w:rFonts w:ascii="Times New Roman" w:hAnsi="Times New Roman" w:cs="Times New Roman"/>
        </w:rPr>
        <w:t>Etree</w:t>
      </w:r>
      <w:proofErr w:type="spellEnd"/>
      <w:r w:rsidRPr="000A75ED">
        <w:rPr>
          <w:rFonts w:ascii="Times New Roman" w:hAnsi="Times New Roman" w:cs="Times New Roman"/>
        </w:rPr>
        <w:t xml:space="preserve"> GmbH og </w:t>
      </w:r>
      <w:r w:rsidR="00133C12">
        <w:rPr>
          <w:rFonts w:ascii="Times New Roman" w:hAnsi="Times New Roman" w:cs="Times New Roman"/>
        </w:rPr>
        <w:t>A</w:t>
      </w:r>
      <w:r w:rsidRPr="000A75ED">
        <w:rPr>
          <w:rFonts w:ascii="Times New Roman" w:hAnsi="Times New Roman" w:cs="Times New Roman"/>
        </w:rPr>
        <w:t xml:space="preserve"> den 30. marts 2017 om problemer med ”non EU” produkter, efter landsrettens opfattelse, at </w:t>
      </w:r>
      <w:r w:rsidR="00133C12">
        <w:rPr>
          <w:rFonts w:ascii="Times New Roman" w:hAnsi="Times New Roman" w:cs="Times New Roman"/>
        </w:rPr>
        <w:t>B</w:t>
      </w:r>
      <w:r w:rsidRPr="000A75ED">
        <w:rPr>
          <w:rFonts w:ascii="Times New Roman" w:hAnsi="Times New Roman" w:cs="Times New Roman"/>
        </w:rPr>
        <w:t xml:space="preserve"> og </w:t>
      </w:r>
      <w:r w:rsidR="00133C12">
        <w:rPr>
          <w:rFonts w:ascii="Times New Roman" w:hAnsi="Times New Roman" w:cs="Times New Roman"/>
        </w:rPr>
        <w:t>A</w:t>
      </w:r>
      <w:r w:rsidRPr="000A75ED">
        <w:rPr>
          <w:rFonts w:ascii="Times New Roman" w:hAnsi="Times New Roman" w:cs="Times New Roman"/>
        </w:rPr>
        <w:t xml:space="preserve"> var klar over, at de uden for EØS indkøbte HPE-produkter ikke lovligt kunne sælges i EØS. </w:t>
      </w:r>
      <w:r w:rsidR="00133C12">
        <w:rPr>
          <w:rFonts w:ascii="Times New Roman" w:hAnsi="Times New Roman" w:cs="Times New Roman"/>
        </w:rPr>
        <w:t>B</w:t>
      </w:r>
      <w:r w:rsidRPr="000A75ED">
        <w:rPr>
          <w:rFonts w:ascii="Times New Roman" w:hAnsi="Times New Roman" w:cs="Times New Roman"/>
        </w:rPr>
        <w:t xml:space="preserve"> og </w:t>
      </w:r>
      <w:r w:rsidR="00133C12">
        <w:rPr>
          <w:rFonts w:ascii="Times New Roman" w:hAnsi="Times New Roman" w:cs="Times New Roman"/>
        </w:rPr>
        <w:t>A</w:t>
      </w:r>
      <w:r w:rsidRPr="000A75ED">
        <w:rPr>
          <w:rFonts w:ascii="Times New Roman" w:hAnsi="Times New Roman" w:cs="Times New Roman"/>
        </w:rPr>
        <w:t xml:space="preserve"> var også klar over, at HPE, hvis HPE var blevet gjort bekendt med det påtænkte salg i EØS, ville have modsat sig det.</w:t>
      </w:r>
    </w:p>
    <w:p w14:paraId="78195B7C" w14:textId="77777777" w:rsidR="000A75ED" w:rsidRPr="000A75ED" w:rsidRDefault="000A75ED" w:rsidP="000A75ED">
      <w:pPr>
        <w:spacing w:line="276" w:lineRule="auto"/>
        <w:contextualSpacing/>
        <w:rPr>
          <w:rFonts w:ascii="Times New Roman" w:hAnsi="Times New Roman" w:cs="Times New Roman"/>
        </w:rPr>
      </w:pPr>
    </w:p>
    <w:p w14:paraId="7FD7A525" w14:textId="14602A55" w:rsidR="000A75ED" w:rsidRPr="000A75ED" w:rsidRDefault="000A75ED" w:rsidP="000A75ED">
      <w:pPr>
        <w:spacing w:line="276" w:lineRule="auto"/>
        <w:contextualSpacing/>
        <w:rPr>
          <w:rFonts w:ascii="Times New Roman" w:hAnsi="Times New Roman" w:cs="Times New Roman"/>
        </w:rPr>
      </w:pPr>
      <w:proofErr w:type="spellStart"/>
      <w:r w:rsidRPr="000A75ED">
        <w:rPr>
          <w:rFonts w:ascii="Times New Roman" w:hAnsi="Times New Roman" w:cs="Times New Roman"/>
        </w:rPr>
        <w:t>HPE’s</w:t>
      </w:r>
      <w:proofErr w:type="spellEnd"/>
      <w:r w:rsidRPr="000A75ED">
        <w:rPr>
          <w:rFonts w:ascii="Times New Roman" w:hAnsi="Times New Roman" w:cs="Times New Roman"/>
        </w:rPr>
        <w:t xml:space="preserve"> undladelse af at opfylde pålægget i Sø- og Handelsrettens kendelse af 23. februar 2022 om at fremlægge de i perioden fra 23. juni 2016 og frem til opfyldelsen af editionen indgåede forlig med </w:t>
      </w:r>
      <w:r w:rsidR="00133C12">
        <w:rPr>
          <w:rFonts w:ascii="Times New Roman" w:hAnsi="Times New Roman" w:cs="Times New Roman"/>
        </w:rPr>
        <w:t>B’</w:t>
      </w:r>
      <w:r w:rsidRPr="000A75ED">
        <w:rPr>
          <w:rFonts w:ascii="Times New Roman" w:hAnsi="Times New Roman" w:cs="Times New Roman"/>
        </w:rPr>
        <w:t xml:space="preserve">s leverandører og kunder, Lal </w:t>
      </w:r>
      <w:proofErr w:type="spellStart"/>
      <w:r w:rsidRPr="000A75ED">
        <w:rPr>
          <w:rFonts w:ascii="Times New Roman" w:hAnsi="Times New Roman" w:cs="Times New Roman"/>
        </w:rPr>
        <w:t>Sahu</w:t>
      </w:r>
      <w:proofErr w:type="spellEnd"/>
      <w:r w:rsidRPr="000A75ED">
        <w:rPr>
          <w:rFonts w:ascii="Times New Roman" w:hAnsi="Times New Roman" w:cs="Times New Roman"/>
        </w:rPr>
        <w:t xml:space="preserve"> Singapore, Universal </w:t>
      </w:r>
      <w:proofErr w:type="spellStart"/>
      <w:r w:rsidRPr="000A75ED">
        <w:rPr>
          <w:rFonts w:ascii="Times New Roman" w:hAnsi="Times New Roman" w:cs="Times New Roman"/>
        </w:rPr>
        <w:t>Procurement</w:t>
      </w:r>
      <w:proofErr w:type="spellEnd"/>
      <w:r w:rsidRPr="000A75ED">
        <w:rPr>
          <w:rFonts w:ascii="Times New Roman" w:hAnsi="Times New Roman" w:cs="Times New Roman"/>
        </w:rPr>
        <w:t xml:space="preserve"> Systems PTE LTD. </w:t>
      </w:r>
      <w:r w:rsidRPr="000A75ED">
        <w:rPr>
          <w:rFonts w:ascii="Times New Roman" w:hAnsi="Times New Roman" w:cs="Times New Roman"/>
        </w:rPr>
        <w:lastRenderedPageBreak/>
        <w:t>(</w:t>
      </w:r>
      <w:proofErr w:type="spellStart"/>
      <w:r w:rsidRPr="000A75ED">
        <w:rPr>
          <w:rFonts w:ascii="Times New Roman" w:hAnsi="Times New Roman" w:cs="Times New Roman"/>
        </w:rPr>
        <w:t>Thakral</w:t>
      </w:r>
      <w:proofErr w:type="spellEnd"/>
      <w:r w:rsidRPr="000A75ED">
        <w:rPr>
          <w:rFonts w:ascii="Times New Roman" w:hAnsi="Times New Roman" w:cs="Times New Roman"/>
        </w:rPr>
        <w:t xml:space="preserve">), </w:t>
      </w:r>
      <w:proofErr w:type="spellStart"/>
      <w:r w:rsidRPr="000A75ED">
        <w:rPr>
          <w:rFonts w:ascii="Times New Roman" w:hAnsi="Times New Roman" w:cs="Times New Roman"/>
        </w:rPr>
        <w:t>Etree</w:t>
      </w:r>
      <w:proofErr w:type="spellEnd"/>
      <w:r w:rsidRPr="000A75ED">
        <w:rPr>
          <w:rFonts w:ascii="Times New Roman" w:hAnsi="Times New Roman" w:cs="Times New Roman"/>
        </w:rPr>
        <w:t xml:space="preserve"> GmbH, </w:t>
      </w:r>
      <w:proofErr w:type="spellStart"/>
      <w:r w:rsidRPr="000A75ED">
        <w:rPr>
          <w:rFonts w:ascii="Times New Roman" w:hAnsi="Times New Roman" w:cs="Times New Roman"/>
        </w:rPr>
        <w:t>Infotheek</w:t>
      </w:r>
      <w:proofErr w:type="spellEnd"/>
      <w:r w:rsidRPr="000A75ED">
        <w:rPr>
          <w:rFonts w:ascii="Times New Roman" w:hAnsi="Times New Roman" w:cs="Times New Roman"/>
        </w:rPr>
        <w:t xml:space="preserve">, </w:t>
      </w:r>
      <w:proofErr w:type="spellStart"/>
      <w:r w:rsidRPr="000A75ED">
        <w:rPr>
          <w:rFonts w:ascii="Times New Roman" w:hAnsi="Times New Roman" w:cs="Times New Roman"/>
        </w:rPr>
        <w:t>AllNet</w:t>
      </w:r>
      <w:proofErr w:type="spellEnd"/>
      <w:r w:rsidRPr="000A75ED">
        <w:rPr>
          <w:rFonts w:ascii="Times New Roman" w:hAnsi="Times New Roman" w:cs="Times New Roman"/>
        </w:rPr>
        <w:t xml:space="preserve"> GmbH og RDS, eller med disse koncernforbundne selskaber, kan efter landsrettens opfattelse ikke medføre, at det som anført af </w:t>
      </w:r>
      <w:r w:rsidR="00133C12">
        <w:rPr>
          <w:rFonts w:ascii="Times New Roman" w:hAnsi="Times New Roman" w:cs="Times New Roman"/>
        </w:rPr>
        <w:t>A</w:t>
      </w:r>
      <w:r w:rsidRPr="000A75ED">
        <w:rPr>
          <w:rFonts w:ascii="Times New Roman" w:hAnsi="Times New Roman" w:cs="Times New Roman"/>
        </w:rPr>
        <w:t xml:space="preserve"> skal lægges til grund, at forligene indeholder et (efterfølgende) samtykke fra HPE til salg inden for EØS under </w:t>
      </w:r>
      <w:proofErr w:type="spellStart"/>
      <w:r w:rsidRPr="000A75ED">
        <w:rPr>
          <w:rFonts w:ascii="Times New Roman" w:hAnsi="Times New Roman" w:cs="Times New Roman"/>
        </w:rPr>
        <w:t>HPE’s</w:t>
      </w:r>
      <w:proofErr w:type="spellEnd"/>
      <w:r w:rsidRPr="000A75ED">
        <w:rPr>
          <w:rFonts w:ascii="Times New Roman" w:hAnsi="Times New Roman" w:cs="Times New Roman"/>
        </w:rPr>
        <w:t xml:space="preserve"> varemærker af de HPE-produkter, som </w:t>
      </w:r>
      <w:r w:rsidR="00133C12">
        <w:rPr>
          <w:rFonts w:ascii="Times New Roman" w:hAnsi="Times New Roman" w:cs="Times New Roman"/>
        </w:rPr>
        <w:t>B</w:t>
      </w:r>
      <w:r w:rsidRPr="000A75ED">
        <w:rPr>
          <w:rFonts w:ascii="Times New Roman" w:hAnsi="Times New Roman" w:cs="Times New Roman"/>
        </w:rPr>
        <w:t xml:space="preserve"> har købt af eller solgt til de pågældende virksomheder. </w:t>
      </w:r>
    </w:p>
    <w:p w14:paraId="0EE77B73" w14:textId="77777777" w:rsidR="000A75ED" w:rsidRPr="000A75ED" w:rsidRDefault="000A75ED" w:rsidP="000A75ED">
      <w:pPr>
        <w:spacing w:line="276" w:lineRule="auto"/>
        <w:contextualSpacing/>
        <w:rPr>
          <w:rFonts w:ascii="Times New Roman" w:hAnsi="Times New Roman" w:cs="Times New Roman"/>
        </w:rPr>
      </w:pPr>
    </w:p>
    <w:p w14:paraId="617799C1" w14:textId="0FF68DAA" w:rsidR="000A75ED" w:rsidRPr="000A75ED" w:rsidRDefault="000A75ED" w:rsidP="000A75ED">
      <w:pPr>
        <w:spacing w:line="276" w:lineRule="auto"/>
        <w:contextualSpacing/>
        <w:rPr>
          <w:rFonts w:ascii="Times New Roman" w:hAnsi="Times New Roman" w:cs="Times New Roman"/>
        </w:rPr>
      </w:pPr>
      <w:r w:rsidRPr="000A75ED">
        <w:rPr>
          <w:rFonts w:ascii="Times New Roman" w:hAnsi="Times New Roman" w:cs="Times New Roman"/>
        </w:rPr>
        <w:t xml:space="preserve">Under disse omstændigheder, og uanset om der efter dommen i sag C-367/21 kan være krav om en vis tilpasning af bevisbyrden for, at der er indtrådt varemærkeretlig konsumption, finder landsretten, at det må lægges til grund, at der ikke er sket varemærkeretlig konsumption med hensyn til de HPE-produkter, som </w:t>
      </w:r>
      <w:r w:rsidR="00133C12">
        <w:rPr>
          <w:rFonts w:ascii="Times New Roman" w:hAnsi="Times New Roman" w:cs="Times New Roman"/>
        </w:rPr>
        <w:t>B</w:t>
      </w:r>
      <w:r w:rsidRPr="000A75ED">
        <w:rPr>
          <w:rFonts w:ascii="Times New Roman" w:hAnsi="Times New Roman" w:cs="Times New Roman"/>
        </w:rPr>
        <w:t xml:space="preserve"> ifølge skønsmandens svar på spørgsmål 2 har købt uden for EØS og herefter solgt inden for EØS med en omsætning på 100.436.872,54 kr. til følge.</w:t>
      </w:r>
    </w:p>
    <w:p w14:paraId="44527D0B" w14:textId="77777777" w:rsidR="000A75ED" w:rsidRPr="000A75ED" w:rsidRDefault="000A75ED" w:rsidP="000A75ED">
      <w:pPr>
        <w:spacing w:line="276" w:lineRule="auto"/>
        <w:contextualSpacing/>
        <w:rPr>
          <w:rFonts w:ascii="Times New Roman" w:hAnsi="Times New Roman" w:cs="Times New Roman"/>
        </w:rPr>
      </w:pPr>
    </w:p>
    <w:p w14:paraId="2B93F979" w14:textId="6184725D" w:rsidR="000A75ED" w:rsidRPr="000A75ED" w:rsidRDefault="000A75ED" w:rsidP="000A75ED">
      <w:pPr>
        <w:spacing w:line="276" w:lineRule="auto"/>
        <w:contextualSpacing/>
        <w:rPr>
          <w:rFonts w:ascii="Times New Roman" w:hAnsi="Times New Roman" w:cs="Times New Roman"/>
        </w:rPr>
      </w:pPr>
      <w:r w:rsidRPr="000A75ED">
        <w:rPr>
          <w:rFonts w:ascii="Times New Roman" w:hAnsi="Times New Roman" w:cs="Times New Roman"/>
        </w:rPr>
        <w:t xml:space="preserve">Landsretten lægger på den baggrund til grund, at </w:t>
      </w:r>
      <w:r w:rsidR="00133C12">
        <w:rPr>
          <w:rFonts w:ascii="Times New Roman" w:hAnsi="Times New Roman" w:cs="Times New Roman"/>
        </w:rPr>
        <w:t>B</w:t>
      </w:r>
      <w:r w:rsidRPr="000A75ED">
        <w:rPr>
          <w:rFonts w:ascii="Times New Roman" w:hAnsi="Times New Roman" w:cs="Times New Roman"/>
        </w:rPr>
        <w:t xml:space="preserve"> i perioden fra den 23. juni 2016 og til den 12. december 2019 krænkede </w:t>
      </w:r>
      <w:proofErr w:type="spellStart"/>
      <w:r w:rsidRPr="000A75ED">
        <w:rPr>
          <w:rFonts w:ascii="Times New Roman" w:hAnsi="Times New Roman" w:cs="Times New Roman"/>
        </w:rPr>
        <w:t>HPE’s</w:t>
      </w:r>
      <w:proofErr w:type="spellEnd"/>
      <w:r w:rsidRPr="000A75ED">
        <w:rPr>
          <w:rFonts w:ascii="Times New Roman" w:hAnsi="Times New Roman" w:cs="Times New Roman"/>
        </w:rPr>
        <w:t xml:space="preserve"> varemærkerettigheder ved uberettiget videresalg inden for EØS af HPE-produkter indkøbt uden for EØS med en samlet omsætning på 100.436.872,54 kr. til følge, og at </w:t>
      </w:r>
      <w:r w:rsidR="00133C12">
        <w:rPr>
          <w:rFonts w:ascii="Times New Roman" w:hAnsi="Times New Roman" w:cs="Times New Roman"/>
        </w:rPr>
        <w:t>B</w:t>
      </w:r>
      <w:r w:rsidRPr="000A75ED">
        <w:rPr>
          <w:rFonts w:ascii="Times New Roman" w:hAnsi="Times New Roman" w:cs="Times New Roman"/>
        </w:rPr>
        <w:t xml:space="preserve"> herved opnåede et dækningsbidrag uden fradrag af alle variable omkostninger på 11.226.798,47 kr. </w:t>
      </w:r>
    </w:p>
    <w:p w14:paraId="66D64EB4" w14:textId="77777777" w:rsidR="000A75ED" w:rsidRPr="000A75ED" w:rsidRDefault="000A75ED" w:rsidP="000A75ED">
      <w:pPr>
        <w:spacing w:line="276" w:lineRule="auto"/>
        <w:contextualSpacing/>
        <w:rPr>
          <w:rFonts w:ascii="Times New Roman" w:hAnsi="Times New Roman" w:cs="Times New Roman"/>
        </w:rPr>
      </w:pPr>
    </w:p>
    <w:p w14:paraId="46962EA0" w14:textId="6660B494" w:rsidR="000A75ED" w:rsidRPr="000A75ED" w:rsidRDefault="000A75ED" w:rsidP="000A75ED">
      <w:pPr>
        <w:spacing w:line="276" w:lineRule="auto"/>
        <w:contextualSpacing/>
        <w:rPr>
          <w:rFonts w:ascii="Times New Roman" w:hAnsi="Times New Roman" w:cs="Times New Roman"/>
          <w:i/>
          <w:iCs/>
        </w:rPr>
      </w:pPr>
      <w:r w:rsidRPr="000A75ED">
        <w:rPr>
          <w:rFonts w:ascii="Times New Roman" w:hAnsi="Times New Roman" w:cs="Times New Roman"/>
          <w:i/>
          <w:iCs/>
        </w:rPr>
        <w:t xml:space="preserve">Personligt ansvar for </w:t>
      </w:r>
      <w:r w:rsidR="00133C12">
        <w:rPr>
          <w:rFonts w:ascii="Times New Roman" w:hAnsi="Times New Roman" w:cs="Times New Roman"/>
          <w:i/>
          <w:iCs/>
        </w:rPr>
        <w:t>A</w:t>
      </w:r>
    </w:p>
    <w:p w14:paraId="0A8784CC" w14:textId="662E9951" w:rsidR="000A75ED" w:rsidRPr="000A75ED" w:rsidRDefault="000A75ED" w:rsidP="000A75ED">
      <w:pPr>
        <w:spacing w:line="276" w:lineRule="auto"/>
        <w:contextualSpacing/>
        <w:rPr>
          <w:rFonts w:ascii="Times New Roman" w:hAnsi="Times New Roman" w:cs="Times New Roman"/>
        </w:rPr>
      </w:pPr>
      <w:r w:rsidRPr="000A75ED">
        <w:rPr>
          <w:rFonts w:ascii="Times New Roman" w:hAnsi="Times New Roman" w:cs="Times New Roman"/>
        </w:rPr>
        <w:t xml:space="preserve">Der er ikke i sagen oplysninger, som understøtter, at </w:t>
      </w:r>
      <w:r w:rsidR="00133C12">
        <w:rPr>
          <w:rFonts w:ascii="Times New Roman" w:hAnsi="Times New Roman" w:cs="Times New Roman"/>
        </w:rPr>
        <w:t>A</w:t>
      </w:r>
      <w:r w:rsidRPr="000A75ED">
        <w:rPr>
          <w:rFonts w:ascii="Times New Roman" w:hAnsi="Times New Roman" w:cs="Times New Roman"/>
        </w:rPr>
        <w:t xml:space="preserve"> i perioden fra stiftelsen af </w:t>
      </w:r>
      <w:r w:rsidR="00133C12">
        <w:rPr>
          <w:rFonts w:ascii="Times New Roman" w:hAnsi="Times New Roman" w:cs="Times New Roman"/>
        </w:rPr>
        <w:t>B</w:t>
      </w:r>
      <w:r w:rsidRPr="000A75ED">
        <w:rPr>
          <w:rFonts w:ascii="Times New Roman" w:hAnsi="Times New Roman" w:cs="Times New Roman"/>
        </w:rPr>
        <w:t xml:space="preserve"> den 23. juni 2016 og til bevissikringen den 12. december 2019 har haft anden beskæftigelse og indtægt end i og fra </w:t>
      </w:r>
      <w:r w:rsidR="00133C12">
        <w:rPr>
          <w:rFonts w:ascii="Times New Roman" w:hAnsi="Times New Roman" w:cs="Times New Roman"/>
        </w:rPr>
        <w:t>B</w:t>
      </w:r>
      <w:r w:rsidRPr="000A75ED">
        <w:rPr>
          <w:rFonts w:ascii="Times New Roman" w:hAnsi="Times New Roman" w:cs="Times New Roman"/>
        </w:rPr>
        <w:t xml:space="preserve">. </w:t>
      </w:r>
    </w:p>
    <w:p w14:paraId="0BFE4354" w14:textId="77777777" w:rsidR="000A75ED" w:rsidRPr="000A75ED" w:rsidRDefault="000A75ED" w:rsidP="000A75ED">
      <w:pPr>
        <w:spacing w:line="276" w:lineRule="auto"/>
        <w:contextualSpacing/>
        <w:rPr>
          <w:rFonts w:ascii="Times New Roman" w:hAnsi="Times New Roman" w:cs="Times New Roman"/>
        </w:rPr>
      </w:pPr>
    </w:p>
    <w:p w14:paraId="3469B05A" w14:textId="766B7103" w:rsidR="000A75ED" w:rsidRPr="000A75ED" w:rsidRDefault="000A75ED" w:rsidP="000A75ED">
      <w:pPr>
        <w:spacing w:line="276" w:lineRule="auto"/>
        <w:contextualSpacing/>
        <w:rPr>
          <w:rFonts w:ascii="Times New Roman" w:hAnsi="Times New Roman" w:cs="Times New Roman"/>
        </w:rPr>
      </w:pPr>
      <w:r w:rsidRPr="000A75ED">
        <w:rPr>
          <w:rFonts w:ascii="Times New Roman" w:hAnsi="Times New Roman" w:cs="Times New Roman"/>
        </w:rPr>
        <w:t xml:space="preserve">Herefter og efter det i skønsmandens svar på spørgsmål 7 oplyste om </w:t>
      </w:r>
      <w:r w:rsidR="00133C12">
        <w:rPr>
          <w:rFonts w:ascii="Times New Roman" w:hAnsi="Times New Roman" w:cs="Times New Roman"/>
        </w:rPr>
        <w:t>A’</w:t>
      </w:r>
      <w:r w:rsidRPr="000A75ED">
        <w:rPr>
          <w:rFonts w:ascii="Times New Roman" w:hAnsi="Times New Roman" w:cs="Times New Roman"/>
        </w:rPr>
        <w:t xml:space="preserve">s lønindtægter og aktieudbytte i årene 2016-2021 og om udlodninger fra </w:t>
      </w:r>
      <w:r w:rsidR="00133C12">
        <w:rPr>
          <w:rFonts w:ascii="Times New Roman" w:hAnsi="Times New Roman" w:cs="Times New Roman"/>
        </w:rPr>
        <w:t>B</w:t>
      </w:r>
      <w:r w:rsidRPr="000A75ED">
        <w:rPr>
          <w:rFonts w:ascii="Times New Roman" w:hAnsi="Times New Roman" w:cs="Times New Roman"/>
        </w:rPr>
        <w:t xml:space="preserve"> i samme periode lægger landsretten til grund, at </w:t>
      </w:r>
      <w:r w:rsidR="00133C12">
        <w:rPr>
          <w:rFonts w:ascii="Times New Roman" w:hAnsi="Times New Roman" w:cs="Times New Roman"/>
        </w:rPr>
        <w:t>A</w:t>
      </w:r>
      <w:r w:rsidRPr="000A75ED">
        <w:rPr>
          <w:rFonts w:ascii="Times New Roman" w:hAnsi="Times New Roman" w:cs="Times New Roman"/>
        </w:rPr>
        <w:t xml:space="preserve"> har opnået en betydelig andel af indtjeningen ved den varemærkekrænkende parallelimport. </w:t>
      </w:r>
    </w:p>
    <w:p w14:paraId="559F476F" w14:textId="77777777" w:rsidR="000A75ED" w:rsidRPr="000A75ED" w:rsidRDefault="000A75ED" w:rsidP="000A75ED">
      <w:pPr>
        <w:spacing w:line="276" w:lineRule="auto"/>
        <w:contextualSpacing/>
        <w:rPr>
          <w:rFonts w:ascii="Times New Roman" w:hAnsi="Times New Roman" w:cs="Times New Roman"/>
        </w:rPr>
      </w:pPr>
    </w:p>
    <w:p w14:paraId="5A8445E3" w14:textId="4601A20D" w:rsidR="000A75ED" w:rsidRPr="000A75ED" w:rsidRDefault="000A75ED" w:rsidP="000A75ED">
      <w:pPr>
        <w:spacing w:line="276" w:lineRule="auto"/>
        <w:contextualSpacing/>
        <w:rPr>
          <w:rFonts w:ascii="Times New Roman" w:hAnsi="Times New Roman" w:cs="Times New Roman"/>
        </w:rPr>
      </w:pPr>
      <w:r w:rsidRPr="000A75ED">
        <w:rPr>
          <w:rFonts w:ascii="Times New Roman" w:hAnsi="Times New Roman" w:cs="Times New Roman"/>
        </w:rPr>
        <w:t xml:space="preserve">På den baggrund og af de grunde, som Sø- og Handelsretten i øvrigt har anført om </w:t>
      </w:r>
      <w:r w:rsidR="00133C12">
        <w:rPr>
          <w:rFonts w:ascii="Times New Roman" w:hAnsi="Times New Roman" w:cs="Times New Roman"/>
        </w:rPr>
        <w:t>A’</w:t>
      </w:r>
      <w:r w:rsidRPr="000A75ED">
        <w:rPr>
          <w:rFonts w:ascii="Times New Roman" w:hAnsi="Times New Roman" w:cs="Times New Roman"/>
        </w:rPr>
        <w:t xml:space="preserve">s personlige ansvar, finder landsretten, at </w:t>
      </w:r>
      <w:r w:rsidR="00133C12">
        <w:rPr>
          <w:rFonts w:ascii="Times New Roman" w:hAnsi="Times New Roman" w:cs="Times New Roman"/>
        </w:rPr>
        <w:t>A</w:t>
      </w:r>
      <w:r w:rsidRPr="000A75ED">
        <w:rPr>
          <w:rFonts w:ascii="Times New Roman" w:hAnsi="Times New Roman" w:cs="Times New Roman"/>
        </w:rPr>
        <w:t xml:space="preserve"> må anses for personligt ansvarlig for den skete varemærkekrænkelse, som må tilregnes hende som i hvert fald groft uagtsom. </w:t>
      </w:r>
    </w:p>
    <w:p w14:paraId="1F7A0A21" w14:textId="77777777" w:rsidR="000A75ED" w:rsidRPr="000A75ED" w:rsidRDefault="000A75ED" w:rsidP="000A75ED">
      <w:pPr>
        <w:spacing w:line="276" w:lineRule="auto"/>
        <w:contextualSpacing/>
        <w:rPr>
          <w:rFonts w:ascii="Times New Roman" w:hAnsi="Times New Roman" w:cs="Times New Roman"/>
        </w:rPr>
      </w:pPr>
    </w:p>
    <w:p w14:paraId="27E366B6" w14:textId="77777777" w:rsidR="000A75ED" w:rsidRPr="000A75ED" w:rsidRDefault="000A75ED" w:rsidP="000A75ED">
      <w:pPr>
        <w:spacing w:line="276" w:lineRule="auto"/>
        <w:contextualSpacing/>
        <w:rPr>
          <w:rFonts w:ascii="Times New Roman" w:hAnsi="Times New Roman" w:cs="Times New Roman"/>
          <w:i/>
          <w:iCs/>
        </w:rPr>
      </w:pPr>
      <w:r w:rsidRPr="000A75ED">
        <w:rPr>
          <w:rFonts w:ascii="Times New Roman" w:hAnsi="Times New Roman" w:cs="Times New Roman"/>
          <w:i/>
          <w:iCs/>
        </w:rPr>
        <w:t>Forældelse og passivitet</w:t>
      </w:r>
    </w:p>
    <w:p w14:paraId="59E81BF9" w14:textId="2BD4F22D" w:rsidR="000A75ED" w:rsidRPr="000A75ED" w:rsidRDefault="000A75ED" w:rsidP="000A75ED">
      <w:pPr>
        <w:spacing w:line="276" w:lineRule="auto"/>
        <w:contextualSpacing/>
        <w:rPr>
          <w:rFonts w:ascii="Times New Roman" w:hAnsi="Times New Roman" w:cs="Times New Roman"/>
        </w:rPr>
      </w:pPr>
      <w:r w:rsidRPr="000A75ED">
        <w:rPr>
          <w:rFonts w:ascii="Times New Roman" w:hAnsi="Times New Roman" w:cs="Times New Roman"/>
        </w:rPr>
        <w:t xml:space="preserve">Landsretten tiltræder af de grunde, som Sø- og Handelsretten har anført, at </w:t>
      </w:r>
      <w:proofErr w:type="spellStart"/>
      <w:r w:rsidRPr="000A75ED">
        <w:rPr>
          <w:rFonts w:ascii="Times New Roman" w:hAnsi="Times New Roman" w:cs="Times New Roman"/>
        </w:rPr>
        <w:t>HPE’s</w:t>
      </w:r>
      <w:proofErr w:type="spellEnd"/>
      <w:r w:rsidRPr="000A75ED">
        <w:rPr>
          <w:rFonts w:ascii="Times New Roman" w:hAnsi="Times New Roman" w:cs="Times New Roman"/>
        </w:rPr>
        <w:t xml:space="preserve"> krav på økonomisk kompensation for varemærkekrænkelsen ikke er forældet eller bortfaldet som følge af </w:t>
      </w:r>
      <w:proofErr w:type="spellStart"/>
      <w:r w:rsidRPr="000A75ED">
        <w:rPr>
          <w:rFonts w:ascii="Times New Roman" w:hAnsi="Times New Roman" w:cs="Times New Roman"/>
        </w:rPr>
        <w:t>retsfortabende</w:t>
      </w:r>
      <w:proofErr w:type="spellEnd"/>
      <w:r w:rsidRPr="000A75ED">
        <w:rPr>
          <w:rFonts w:ascii="Times New Roman" w:hAnsi="Times New Roman" w:cs="Times New Roman"/>
        </w:rPr>
        <w:t xml:space="preserve"> passivitet. Det, som </w:t>
      </w:r>
      <w:r w:rsidR="00133C12">
        <w:rPr>
          <w:rFonts w:ascii="Times New Roman" w:hAnsi="Times New Roman" w:cs="Times New Roman"/>
        </w:rPr>
        <w:t>A</w:t>
      </w:r>
      <w:r w:rsidRPr="000A75ED">
        <w:rPr>
          <w:rFonts w:ascii="Times New Roman" w:hAnsi="Times New Roman" w:cs="Times New Roman"/>
        </w:rPr>
        <w:t xml:space="preserve"> yderligere har anført herom, kan ikke føre til et andet resultat.</w:t>
      </w:r>
    </w:p>
    <w:p w14:paraId="388600B7" w14:textId="77777777" w:rsidR="000A75ED" w:rsidRPr="000A75ED" w:rsidRDefault="000A75ED" w:rsidP="000A75ED">
      <w:pPr>
        <w:spacing w:line="276" w:lineRule="auto"/>
        <w:contextualSpacing/>
        <w:rPr>
          <w:rFonts w:ascii="Times New Roman" w:hAnsi="Times New Roman" w:cs="Times New Roman"/>
        </w:rPr>
      </w:pPr>
    </w:p>
    <w:p w14:paraId="07D63D7B" w14:textId="77777777" w:rsidR="000A75ED" w:rsidRPr="000A75ED" w:rsidRDefault="000A75ED" w:rsidP="000A75ED">
      <w:pPr>
        <w:spacing w:line="276" w:lineRule="auto"/>
        <w:contextualSpacing/>
        <w:rPr>
          <w:rFonts w:ascii="Times New Roman" w:hAnsi="Times New Roman" w:cs="Times New Roman"/>
          <w:i/>
          <w:iCs/>
        </w:rPr>
      </w:pPr>
      <w:r w:rsidRPr="000A75ED">
        <w:rPr>
          <w:rFonts w:ascii="Times New Roman" w:hAnsi="Times New Roman" w:cs="Times New Roman"/>
          <w:i/>
          <w:iCs/>
        </w:rPr>
        <w:t>Vederlag og erstatning</w:t>
      </w:r>
    </w:p>
    <w:p w14:paraId="410158B9" w14:textId="05A75F41" w:rsidR="000A75ED" w:rsidRPr="000A75ED" w:rsidRDefault="000A75ED" w:rsidP="000A75ED">
      <w:pPr>
        <w:spacing w:line="276" w:lineRule="auto"/>
        <w:contextualSpacing/>
        <w:rPr>
          <w:rFonts w:ascii="Times New Roman" w:hAnsi="Times New Roman" w:cs="Times New Roman"/>
        </w:rPr>
      </w:pPr>
      <w:r w:rsidRPr="000A75ED">
        <w:rPr>
          <w:rFonts w:ascii="Times New Roman" w:hAnsi="Times New Roman" w:cs="Times New Roman"/>
        </w:rPr>
        <w:t xml:space="preserve">Som anført af Sø- og Handelsretten skal </w:t>
      </w:r>
      <w:r w:rsidR="00133C12">
        <w:rPr>
          <w:rFonts w:ascii="Times New Roman" w:hAnsi="Times New Roman" w:cs="Times New Roman"/>
        </w:rPr>
        <w:t>A</w:t>
      </w:r>
      <w:r w:rsidRPr="000A75ED">
        <w:rPr>
          <w:rFonts w:ascii="Times New Roman" w:hAnsi="Times New Roman" w:cs="Times New Roman"/>
        </w:rPr>
        <w:t xml:space="preserve"> til HPE betale et rimeligt vederlag for udnyttelsen af varemærkeretten og erstatning for den yderligere skade, som overtrædelsen har medført, jf. varemærkelovens § 43, stk. 1, idet der herved skal tages hensyn til bl.a. </w:t>
      </w:r>
      <w:proofErr w:type="spellStart"/>
      <w:r w:rsidRPr="000A75ED">
        <w:rPr>
          <w:rFonts w:ascii="Times New Roman" w:hAnsi="Times New Roman" w:cs="Times New Roman"/>
        </w:rPr>
        <w:t>HPE’s</w:t>
      </w:r>
      <w:proofErr w:type="spellEnd"/>
      <w:r w:rsidRPr="000A75ED">
        <w:rPr>
          <w:rFonts w:ascii="Times New Roman" w:hAnsi="Times New Roman" w:cs="Times New Roman"/>
        </w:rPr>
        <w:t xml:space="preserve"> tabte fortjeneste og den realiserede uberettigede fortjeneste, jf. varemærkelovens § 43, stk. 2. </w:t>
      </w:r>
    </w:p>
    <w:p w14:paraId="6BB57E28" w14:textId="77777777" w:rsidR="000A75ED" w:rsidRPr="000A75ED" w:rsidRDefault="000A75ED" w:rsidP="000A75ED">
      <w:pPr>
        <w:spacing w:line="276" w:lineRule="auto"/>
        <w:contextualSpacing/>
        <w:rPr>
          <w:rFonts w:ascii="Times New Roman" w:hAnsi="Times New Roman" w:cs="Times New Roman"/>
        </w:rPr>
      </w:pPr>
    </w:p>
    <w:p w14:paraId="2CB5B347" w14:textId="77777777" w:rsidR="000A75ED" w:rsidRPr="000A75ED" w:rsidRDefault="000A75ED" w:rsidP="000A75ED">
      <w:pPr>
        <w:spacing w:line="276" w:lineRule="auto"/>
        <w:contextualSpacing/>
        <w:rPr>
          <w:rFonts w:ascii="Times New Roman" w:hAnsi="Times New Roman" w:cs="Times New Roman"/>
        </w:rPr>
      </w:pPr>
      <w:r w:rsidRPr="000A75ED">
        <w:rPr>
          <w:rFonts w:ascii="Times New Roman" w:hAnsi="Times New Roman" w:cs="Times New Roman"/>
        </w:rPr>
        <w:t xml:space="preserve">Varemærkelovens § 43 er affattet ved den ved lov nr. 1430 af 21. december 2005 om ændring af patentloven, ophavsretsloven m.v. skete gennemførelse af retshåndhævelsesdirektivet, og bestemmelsen skal fortolkes i overensstemmelse med direktivet, herunder særligt artikel 3, stk. 2, og artikel 13. Det følger i den forbindelse af forarbejderne til varemærkelovens § 43, stk. 2, jf. lovbemærkningerne hertil i lovforslag nr. 48 af 9. november 2005 om forslag til ændring af patentloven, ophavsretsloven med flere love, at muligheden for at tage hensyn til krænkerens uberettigede fortjeneste er ny i forhold til gældende erstatningsretlige principper i dansk ret, og at det nye kriterium eventuelt vil bevirke, at rettighedshaveren i visse tilfælde kan få en større erstatning end det lidte tab. </w:t>
      </w:r>
    </w:p>
    <w:p w14:paraId="51AB7040" w14:textId="77777777" w:rsidR="000A75ED" w:rsidRPr="000A75ED" w:rsidRDefault="000A75ED" w:rsidP="000A75ED">
      <w:pPr>
        <w:spacing w:line="276" w:lineRule="auto"/>
        <w:contextualSpacing/>
        <w:rPr>
          <w:rFonts w:ascii="Times New Roman" w:hAnsi="Times New Roman" w:cs="Times New Roman"/>
        </w:rPr>
      </w:pPr>
    </w:p>
    <w:p w14:paraId="38FE2FB3" w14:textId="77777777" w:rsidR="000A75ED" w:rsidRPr="000A75ED" w:rsidRDefault="000A75ED" w:rsidP="000A75ED">
      <w:pPr>
        <w:spacing w:line="276" w:lineRule="auto"/>
        <w:contextualSpacing/>
        <w:rPr>
          <w:rFonts w:ascii="Times New Roman" w:hAnsi="Times New Roman" w:cs="Times New Roman"/>
        </w:rPr>
      </w:pPr>
      <w:r w:rsidRPr="000A75ED">
        <w:rPr>
          <w:rFonts w:ascii="Times New Roman" w:hAnsi="Times New Roman" w:cs="Times New Roman"/>
        </w:rPr>
        <w:t xml:space="preserve">Landsretten finder, at der ved fastsættelsen af et rimeligt vederlag må tages udgangspunkt i omsætningen vedrørende de parallelimporterede varemærkekrænkende produkter på 100.436.872,54 kr., idet der tillige må lægges vægt på krænkelsens karakter, grovhed, omfang og varighed, og på det betydelige udbytte, der – også efter et skønsmæssigt fradrag af udokumenterede variable omkostninger – må antages at have været ved parallelimporten. I lyset af krænkelsens karakter, omfang og varighed tiltræder landsretten endvidere, at der er fornødent grundlag for at tilkende erstatning for markedsforstyrrelse. Der er heller ikke for landsretten ført bevis for andet tab.  </w:t>
      </w:r>
    </w:p>
    <w:p w14:paraId="0A78C7D0" w14:textId="77777777" w:rsidR="000A75ED" w:rsidRPr="000A75ED" w:rsidRDefault="000A75ED" w:rsidP="000A75ED">
      <w:pPr>
        <w:spacing w:line="276" w:lineRule="auto"/>
        <w:contextualSpacing/>
        <w:rPr>
          <w:rFonts w:ascii="Times New Roman" w:hAnsi="Times New Roman" w:cs="Times New Roman"/>
        </w:rPr>
      </w:pPr>
    </w:p>
    <w:p w14:paraId="56962B9C" w14:textId="704C6396" w:rsidR="000A75ED" w:rsidRPr="000A75ED" w:rsidRDefault="000A75ED" w:rsidP="000A75ED">
      <w:pPr>
        <w:spacing w:line="276" w:lineRule="auto"/>
        <w:contextualSpacing/>
        <w:rPr>
          <w:rFonts w:ascii="Times New Roman" w:hAnsi="Times New Roman" w:cs="Times New Roman"/>
        </w:rPr>
      </w:pPr>
      <w:r w:rsidRPr="000A75ED">
        <w:rPr>
          <w:rFonts w:ascii="Times New Roman" w:hAnsi="Times New Roman" w:cs="Times New Roman"/>
        </w:rPr>
        <w:t xml:space="preserve">HPE har ikke som anført af </w:t>
      </w:r>
      <w:r w:rsidR="00133C12">
        <w:rPr>
          <w:rFonts w:ascii="Times New Roman" w:hAnsi="Times New Roman" w:cs="Times New Roman"/>
        </w:rPr>
        <w:t>A</w:t>
      </w:r>
      <w:r w:rsidRPr="000A75ED">
        <w:rPr>
          <w:rFonts w:ascii="Times New Roman" w:hAnsi="Times New Roman" w:cs="Times New Roman"/>
        </w:rPr>
        <w:t xml:space="preserve"> tilsidesat sin tabsbegrænsningspligt ved at undlade at forsøge at sætte sig i besiddelse af varelagre tilhørende konkursboet efter </w:t>
      </w:r>
      <w:r w:rsidR="00133C12">
        <w:rPr>
          <w:rFonts w:ascii="Times New Roman" w:hAnsi="Times New Roman" w:cs="Times New Roman"/>
        </w:rPr>
        <w:t>B</w:t>
      </w:r>
      <w:r w:rsidRPr="000A75ED">
        <w:rPr>
          <w:rFonts w:ascii="Times New Roman" w:hAnsi="Times New Roman" w:cs="Times New Roman"/>
        </w:rPr>
        <w:t xml:space="preserve">. </w:t>
      </w:r>
    </w:p>
    <w:p w14:paraId="5A13F096" w14:textId="77777777" w:rsidR="000A75ED" w:rsidRPr="000A75ED" w:rsidRDefault="000A75ED" w:rsidP="000A75ED">
      <w:pPr>
        <w:spacing w:line="276" w:lineRule="auto"/>
        <w:contextualSpacing/>
        <w:rPr>
          <w:rFonts w:ascii="Times New Roman" w:hAnsi="Times New Roman" w:cs="Times New Roman"/>
        </w:rPr>
      </w:pPr>
    </w:p>
    <w:p w14:paraId="4A01A06E" w14:textId="73D84BB5" w:rsidR="000A75ED" w:rsidRPr="000A75ED" w:rsidRDefault="000A75ED" w:rsidP="000A75ED">
      <w:pPr>
        <w:spacing w:line="276" w:lineRule="auto"/>
        <w:contextualSpacing/>
        <w:rPr>
          <w:rFonts w:ascii="Times New Roman" w:hAnsi="Times New Roman" w:cs="Times New Roman"/>
        </w:rPr>
      </w:pPr>
      <w:r w:rsidRPr="000A75ED">
        <w:rPr>
          <w:rFonts w:ascii="Times New Roman" w:hAnsi="Times New Roman" w:cs="Times New Roman"/>
        </w:rPr>
        <w:t xml:space="preserve">På den ovennævnte baggrund finder landsretten, at der ikke er grundlag for at nedsætte det ved den ankede dom skønsmæssigt fastsatte samlede vederlags- og erstatningsbeløb på 7.500.000 kr., som </w:t>
      </w:r>
      <w:r w:rsidR="00133C12">
        <w:rPr>
          <w:rFonts w:ascii="Times New Roman" w:hAnsi="Times New Roman" w:cs="Times New Roman"/>
        </w:rPr>
        <w:t>A</w:t>
      </w:r>
      <w:r w:rsidRPr="000A75ED">
        <w:rPr>
          <w:rFonts w:ascii="Times New Roman" w:hAnsi="Times New Roman" w:cs="Times New Roman"/>
        </w:rPr>
        <w:t xml:space="preserve"> solidarisk med </w:t>
      </w:r>
      <w:r w:rsidR="00133C12">
        <w:rPr>
          <w:rFonts w:ascii="Times New Roman" w:hAnsi="Times New Roman" w:cs="Times New Roman"/>
        </w:rPr>
        <w:t>B</w:t>
      </w:r>
      <w:r w:rsidRPr="000A75ED">
        <w:rPr>
          <w:rFonts w:ascii="Times New Roman" w:hAnsi="Times New Roman" w:cs="Times New Roman"/>
        </w:rPr>
        <w:t xml:space="preserve"> under konkurs skal betale til HPE. Den omstændighed, at HPE har indgået forlig med de i editionskendelsen af 23. februar 2022 anførte leverandører til og kunder hos </w:t>
      </w:r>
      <w:r w:rsidR="00133C12">
        <w:rPr>
          <w:rFonts w:ascii="Times New Roman" w:hAnsi="Times New Roman" w:cs="Times New Roman"/>
        </w:rPr>
        <w:t>B</w:t>
      </w:r>
      <w:r w:rsidRPr="000A75ED">
        <w:rPr>
          <w:rFonts w:ascii="Times New Roman" w:hAnsi="Times New Roman" w:cs="Times New Roman"/>
        </w:rPr>
        <w:t xml:space="preserve"> og modtaget et af HPE oplyst, men ikke ved fremlæggelse af forligene nærmere dokumenteret, samlet kompensationsbeløb på 3.530.005,42 kr., kan ikke føre til, at vederlags- og erstatningsbeløbet skal fastsættes til et lavere beløb. </w:t>
      </w:r>
    </w:p>
    <w:p w14:paraId="3B74720E" w14:textId="77777777" w:rsidR="000A75ED" w:rsidRPr="000A75ED" w:rsidRDefault="000A75ED" w:rsidP="000A75ED">
      <w:pPr>
        <w:spacing w:line="276" w:lineRule="auto"/>
        <w:contextualSpacing/>
        <w:rPr>
          <w:rFonts w:ascii="Times New Roman" w:hAnsi="Times New Roman" w:cs="Times New Roman"/>
        </w:rPr>
      </w:pPr>
    </w:p>
    <w:p w14:paraId="7D48519B" w14:textId="77777777" w:rsidR="000A75ED" w:rsidRPr="000A75ED" w:rsidRDefault="000A75ED" w:rsidP="000A75ED">
      <w:pPr>
        <w:spacing w:line="276" w:lineRule="auto"/>
        <w:contextualSpacing/>
        <w:rPr>
          <w:rFonts w:ascii="Times New Roman" w:hAnsi="Times New Roman" w:cs="Times New Roman"/>
        </w:rPr>
      </w:pPr>
      <w:r w:rsidRPr="000A75ED">
        <w:rPr>
          <w:rFonts w:ascii="Times New Roman" w:hAnsi="Times New Roman" w:cs="Times New Roman"/>
        </w:rPr>
        <w:t xml:space="preserve">Landsretten tiltræder af de grunde, som Sø- og Handelsretten har anført, at der ikke er grundlag for at lade erstatningsansvaret bortfalde eller nedsætte i medfør af erstatningsansvarslovens § 24.  </w:t>
      </w:r>
    </w:p>
    <w:p w14:paraId="5A6FB54C" w14:textId="77777777" w:rsidR="000A75ED" w:rsidRPr="000A75ED" w:rsidRDefault="000A75ED" w:rsidP="000A75ED">
      <w:pPr>
        <w:spacing w:line="276" w:lineRule="auto"/>
        <w:contextualSpacing/>
        <w:rPr>
          <w:rFonts w:ascii="Times New Roman" w:hAnsi="Times New Roman" w:cs="Times New Roman"/>
        </w:rPr>
      </w:pPr>
    </w:p>
    <w:p w14:paraId="0A8B068B" w14:textId="77777777" w:rsidR="000A75ED" w:rsidRPr="000A75ED" w:rsidRDefault="000A75ED" w:rsidP="000A75ED">
      <w:pPr>
        <w:spacing w:line="276" w:lineRule="auto"/>
        <w:contextualSpacing/>
        <w:rPr>
          <w:rFonts w:ascii="Times New Roman" w:hAnsi="Times New Roman" w:cs="Times New Roman"/>
          <w:i/>
          <w:iCs/>
        </w:rPr>
      </w:pPr>
      <w:r w:rsidRPr="000A75ED">
        <w:rPr>
          <w:rFonts w:ascii="Times New Roman" w:hAnsi="Times New Roman" w:cs="Times New Roman"/>
          <w:i/>
          <w:iCs/>
        </w:rPr>
        <w:t>Præjudiciel forelæggelse</w:t>
      </w:r>
    </w:p>
    <w:p w14:paraId="1286C57C" w14:textId="77777777" w:rsidR="000A75ED" w:rsidRPr="000A75ED" w:rsidRDefault="000A75ED" w:rsidP="000A75ED">
      <w:pPr>
        <w:spacing w:line="276" w:lineRule="auto"/>
        <w:contextualSpacing/>
        <w:rPr>
          <w:rFonts w:ascii="Times New Roman" w:hAnsi="Times New Roman" w:cs="Times New Roman"/>
        </w:rPr>
      </w:pPr>
      <w:r w:rsidRPr="000A75ED">
        <w:rPr>
          <w:rFonts w:ascii="Times New Roman" w:hAnsi="Times New Roman" w:cs="Times New Roman"/>
        </w:rPr>
        <w:t xml:space="preserve">Efter det ovenfor anførte resultat er der ikke spørgsmål om fortolkningen af retshåndhævelsesdirektivets artikel 3 og artikel 13, som det er nødvendigt at få besvaret præjudicielt af EU-Domstolen, før der afsiges dom i sagen, jf. TEUF artikel 267, stk. 3. Landsretten tager derfor ikke </w:t>
      </w:r>
      <w:proofErr w:type="spellStart"/>
      <w:r w:rsidRPr="000A75ED">
        <w:rPr>
          <w:rFonts w:ascii="Times New Roman" w:hAnsi="Times New Roman" w:cs="Times New Roman"/>
        </w:rPr>
        <w:t>HPE’s</w:t>
      </w:r>
      <w:proofErr w:type="spellEnd"/>
      <w:r w:rsidRPr="000A75ED">
        <w:rPr>
          <w:rFonts w:ascii="Times New Roman" w:hAnsi="Times New Roman" w:cs="Times New Roman"/>
        </w:rPr>
        <w:t xml:space="preserve"> anmodning om præjudiciel forelæggelse til følge. </w:t>
      </w:r>
    </w:p>
    <w:p w14:paraId="5752E85B" w14:textId="77777777" w:rsidR="000A75ED" w:rsidRDefault="000A75ED" w:rsidP="000A75ED">
      <w:pPr>
        <w:spacing w:line="276" w:lineRule="auto"/>
        <w:contextualSpacing/>
        <w:rPr>
          <w:rFonts w:ascii="Times New Roman" w:hAnsi="Times New Roman" w:cs="Times New Roman"/>
          <w:i/>
          <w:iCs/>
        </w:rPr>
      </w:pPr>
    </w:p>
    <w:p w14:paraId="40769406" w14:textId="77777777" w:rsidR="00EA549C" w:rsidRDefault="00EA549C" w:rsidP="000A75ED">
      <w:pPr>
        <w:spacing w:line="276" w:lineRule="auto"/>
        <w:contextualSpacing/>
        <w:rPr>
          <w:rFonts w:ascii="Times New Roman" w:hAnsi="Times New Roman" w:cs="Times New Roman"/>
          <w:i/>
          <w:iCs/>
        </w:rPr>
      </w:pPr>
    </w:p>
    <w:p w14:paraId="0FB670CD" w14:textId="77777777" w:rsidR="00EA549C" w:rsidRPr="000A75ED" w:rsidRDefault="00EA549C" w:rsidP="000A75ED">
      <w:pPr>
        <w:spacing w:line="276" w:lineRule="auto"/>
        <w:contextualSpacing/>
        <w:rPr>
          <w:rFonts w:ascii="Times New Roman" w:hAnsi="Times New Roman" w:cs="Times New Roman"/>
          <w:i/>
          <w:iCs/>
        </w:rPr>
      </w:pPr>
    </w:p>
    <w:p w14:paraId="22A8E1BF" w14:textId="77777777" w:rsidR="000A75ED" w:rsidRPr="000A75ED" w:rsidRDefault="000A75ED" w:rsidP="000A75ED">
      <w:pPr>
        <w:spacing w:line="276" w:lineRule="auto"/>
        <w:contextualSpacing/>
        <w:rPr>
          <w:rFonts w:ascii="Times New Roman" w:hAnsi="Times New Roman" w:cs="Times New Roman"/>
          <w:b/>
          <w:bCs/>
          <w:i/>
          <w:iCs/>
        </w:rPr>
      </w:pPr>
      <w:r w:rsidRPr="000A75ED">
        <w:rPr>
          <w:rFonts w:ascii="Times New Roman" w:hAnsi="Times New Roman" w:cs="Times New Roman"/>
          <w:b/>
          <w:bCs/>
          <w:i/>
          <w:iCs/>
        </w:rPr>
        <w:lastRenderedPageBreak/>
        <w:t>Resultat og sagsomkostninger</w:t>
      </w:r>
    </w:p>
    <w:p w14:paraId="43E92B70" w14:textId="77777777" w:rsidR="000A75ED" w:rsidRPr="000A75ED" w:rsidRDefault="000A75ED" w:rsidP="000A75ED">
      <w:pPr>
        <w:spacing w:line="276" w:lineRule="auto"/>
        <w:contextualSpacing/>
        <w:rPr>
          <w:rFonts w:ascii="Times New Roman" w:hAnsi="Times New Roman" w:cs="Times New Roman"/>
        </w:rPr>
      </w:pPr>
      <w:r w:rsidRPr="000A75ED">
        <w:rPr>
          <w:rFonts w:ascii="Times New Roman" w:hAnsi="Times New Roman" w:cs="Times New Roman"/>
        </w:rPr>
        <w:t xml:space="preserve">I overensstemmelse med </w:t>
      </w:r>
      <w:proofErr w:type="spellStart"/>
      <w:r w:rsidRPr="000A75ED">
        <w:rPr>
          <w:rFonts w:ascii="Times New Roman" w:hAnsi="Times New Roman" w:cs="Times New Roman"/>
        </w:rPr>
        <w:t>HPE’s</w:t>
      </w:r>
      <w:proofErr w:type="spellEnd"/>
      <w:r w:rsidRPr="000A75ED">
        <w:rPr>
          <w:rFonts w:ascii="Times New Roman" w:hAnsi="Times New Roman" w:cs="Times New Roman"/>
        </w:rPr>
        <w:t xml:space="preserve"> påstand nedsættes de af Sø- og Handelsretten fastsatte sagsomkostninger, så det tilkendte beløb til dækning af udgift til </w:t>
      </w:r>
      <w:proofErr w:type="gramStart"/>
      <w:r w:rsidRPr="000A75ED">
        <w:rPr>
          <w:rFonts w:ascii="Times New Roman" w:hAnsi="Times New Roman" w:cs="Times New Roman"/>
        </w:rPr>
        <w:t>advokat</w:t>
      </w:r>
      <w:proofErr w:type="gramEnd"/>
      <w:r w:rsidRPr="000A75ED">
        <w:rPr>
          <w:rFonts w:ascii="Times New Roman" w:hAnsi="Times New Roman" w:cs="Times New Roman"/>
        </w:rPr>
        <w:t xml:space="preserve"> er ekskl. moms, dvs. 960.000 kr. Sagsomkostningerne for Sø- og Handelsretten fastsættes herefter til 1.110.000 kr. </w:t>
      </w:r>
    </w:p>
    <w:p w14:paraId="6334335D" w14:textId="77777777" w:rsidR="000A75ED" w:rsidRPr="000A75ED" w:rsidRDefault="000A75ED" w:rsidP="000A75ED">
      <w:pPr>
        <w:spacing w:line="276" w:lineRule="auto"/>
        <w:contextualSpacing/>
        <w:rPr>
          <w:rFonts w:ascii="Times New Roman" w:hAnsi="Times New Roman" w:cs="Times New Roman"/>
        </w:rPr>
      </w:pPr>
    </w:p>
    <w:p w14:paraId="64A36228" w14:textId="77777777" w:rsidR="000A75ED" w:rsidRPr="000A75ED" w:rsidRDefault="000A75ED" w:rsidP="000A75ED">
      <w:pPr>
        <w:spacing w:line="276" w:lineRule="auto"/>
        <w:contextualSpacing/>
        <w:rPr>
          <w:rFonts w:ascii="Times New Roman" w:hAnsi="Times New Roman" w:cs="Times New Roman"/>
        </w:rPr>
      </w:pPr>
      <w:r w:rsidRPr="000A75ED">
        <w:rPr>
          <w:rFonts w:ascii="Times New Roman" w:hAnsi="Times New Roman" w:cs="Times New Roman"/>
        </w:rPr>
        <w:t>Med denne ændring stadfæster landsretten Sø- og Handelsrettens dom.</w:t>
      </w:r>
    </w:p>
    <w:p w14:paraId="6AF97D88" w14:textId="77777777" w:rsidR="000A75ED" w:rsidRPr="000A75ED" w:rsidRDefault="000A75ED" w:rsidP="000A75ED">
      <w:pPr>
        <w:spacing w:line="276" w:lineRule="auto"/>
        <w:contextualSpacing/>
        <w:rPr>
          <w:rFonts w:ascii="Times New Roman" w:hAnsi="Times New Roman" w:cs="Times New Roman"/>
        </w:rPr>
      </w:pPr>
    </w:p>
    <w:p w14:paraId="0051C4EB" w14:textId="7CAB65EC" w:rsidR="000A75ED" w:rsidRPr="000A75ED" w:rsidRDefault="000A75ED" w:rsidP="000A75ED">
      <w:pPr>
        <w:spacing w:line="276" w:lineRule="auto"/>
        <w:contextualSpacing/>
        <w:rPr>
          <w:rFonts w:ascii="Times New Roman" w:hAnsi="Times New Roman" w:cs="Times New Roman"/>
        </w:rPr>
      </w:pPr>
      <w:r w:rsidRPr="000A75ED">
        <w:rPr>
          <w:rFonts w:ascii="Times New Roman" w:hAnsi="Times New Roman" w:cs="Times New Roman"/>
        </w:rPr>
        <w:t xml:space="preserve">Efter sagens udfald skal </w:t>
      </w:r>
      <w:r w:rsidR="00133C12">
        <w:rPr>
          <w:rFonts w:ascii="Times New Roman" w:hAnsi="Times New Roman" w:cs="Times New Roman"/>
        </w:rPr>
        <w:t>A</w:t>
      </w:r>
      <w:r w:rsidRPr="000A75ED">
        <w:rPr>
          <w:rFonts w:ascii="Times New Roman" w:hAnsi="Times New Roman" w:cs="Times New Roman"/>
        </w:rPr>
        <w:t xml:space="preserve"> i sagsomkostninger for landsretten betale 800.000 kr. til dækning af </w:t>
      </w:r>
      <w:proofErr w:type="spellStart"/>
      <w:r w:rsidRPr="000A75ED">
        <w:rPr>
          <w:rFonts w:ascii="Times New Roman" w:hAnsi="Times New Roman" w:cs="Times New Roman"/>
        </w:rPr>
        <w:t>HPE’s</w:t>
      </w:r>
      <w:proofErr w:type="spellEnd"/>
      <w:r w:rsidRPr="000A75ED">
        <w:rPr>
          <w:rFonts w:ascii="Times New Roman" w:hAnsi="Times New Roman" w:cs="Times New Roman"/>
        </w:rPr>
        <w:t xml:space="preserve"> udgifter til advokatbistand ekskl. moms. Ud over sagens værdi er der ved fastsættelsen af beløbet til advokat taget hensyn til sagens betragtelige omfang og for</w:t>
      </w:r>
      <w:r w:rsidRPr="000A75ED">
        <w:rPr>
          <w:rFonts w:ascii="Times New Roman" w:hAnsi="Times New Roman" w:cs="Times New Roman"/>
        </w:rPr>
        <w:softHyphen/>
        <w:t>løb, herunder at der har været afholdt syn og skøn, og at hovedforhandlingen har varet 2 dage, men også at sagen i al væsentlighed har angået samme spørgsmål som for Sø- og Handelsretten. Der er ligeledes taget hensyn til at sikre, at en væsentlig og passende del af de rimelige udgifter, som den part, der må anses for at have vundet sagen, har afholdt, bæres af den tabende part, jf. artikel 14 i retshåndhævelsesdirektivet som fortolket af EU-Domstolen i navnlig dom af 28. juli 2016 i sag C-57/15 (United Video Properties).</w:t>
      </w:r>
    </w:p>
    <w:p w14:paraId="1E6D383E" w14:textId="77777777" w:rsidR="006E1255" w:rsidRPr="000A75ED" w:rsidRDefault="006E1255">
      <w:pPr>
        <w:rPr>
          <w:rFonts w:ascii="Times New Roman" w:hAnsi="Times New Roman" w:cs="Times New Roman"/>
        </w:rPr>
      </w:pPr>
    </w:p>
    <w:sectPr w:rsidR="006E1255" w:rsidRPr="000A75E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ED"/>
    <w:rsid w:val="000A75ED"/>
    <w:rsid w:val="00133C12"/>
    <w:rsid w:val="006E1255"/>
    <w:rsid w:val="008F653F"/>
    <w:rsid w:val="009A122D"/>
    <w:rsid w:val="00A24998"/>
    <w:rsid w:val="00EA54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FDDC"/>
  <w15:chartTrackingRefBased/>
  <w15:docId w15:val="{519D1A10-7488-4259-9014-85B422E2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A75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A75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A75E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A75E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A75E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A75E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A75E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A75E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A75E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A75E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A75E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A75E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A75E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A75E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A75E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A75E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A75E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A75ED"/>
    <w:rPr>
      <w:rFonts w:eastAsiaTheme="majorEastAsia" w:cstheme="majorBidi"/>
      <w:color w:val="272727" w:themeColor="text1" w:themeTint="D8"/>
    </w:rPr>
  </w:style>
  <w:style w:type="paragraph" w:styleId="Titel">
    <w:name w:val="Title"/>
    <w:basedOn w:val="Normal"/>
    <w:next w:val="Normal"/>
    <w:link w:val="TitelTegn"/>
    <w:uiPriority w:val="10"/>
    <w:qFormat/>
    <w:rsid w:val="000A75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A75E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A75E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A75E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A75E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A75ED"/>
    <w:rPr>
      <w:i/>
      <w:iCs/>
      <w:color w:val="404040" w:themeColor="text1" w:themeTint="BF"/>
    </w:rPr>
  </w:style>
  <w:style w:type="paragraph" w:styleId="Listeafsnit">
    <w:name w:val="List Paragraph"/>
    <w:basedOn w:val="Normal"/>
    <w:uiPriority w:val="34"/>
    <w:qFormat/>
    <w:rsid w:val="000A75ED"/>
    <w:pPr>
      <w:ind w:left="720"/>
      <w:contextualSpacing/>
    </w:pPr>
  </w:style>
  <w:style w:type="character" w:styleId="Kraftigfremhvning">
    <w:name w:val="Intense Emphasis"/>
    <w:basedOn w:val="Standardskrifttypeiafsnit"/>
    <w:uiPriority w:val="21"/>
    <w:qFormat/>
    <w:rsid w:val="000A75ED"/>
    <w:rPr>
      <w:i/>
      <w:iCs/>
      <w:color w:val="0F4761" w:themeColor="accent1" w:themeShade="BF"/>
    </w:rPr>
  </w:style>
  <w:style w:type="paragraph" w:styleId="Strktcitat">
    <w:name w:val="Intense Quote"/>
    <w:basedOn w:val="Normal"/>
    <w:next w:val="Normal"/>
    <w:link w:val="StrktcitatTegn"/>
    <w:uiPriority w:val="30"/>
    <w:qFormat/>
    <w:rsid w:val="000A75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A75ED"/>
    <w:rPr>
      <w:i/>
      <w:iCs/>
      <w:color w:val="0F4761" w:themeColor="accent1" w:themeShade="BF"/>
    </w:rPr>
  </w:style>
  <w:style w:type="character" w:styleId="Kraftighenvisning">
    <w:name w:val="Intense Reference"/>
    <w:basedOn w:val="Standardskrifttypeiafsnit"/>
    <w:uiPriority w:val="32"/>
    <w:qFormat/>
    <w:rsid w:val="000A75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895262">
      <w:bodyDiv w:val="1"/>
      <w:marLeft w:val="0"/>
      <w:marRight w:val="0"/>
      <w:marTop w:val="0"/>
      <w:marBottom w:val="0"/>
      <w:divBdr>
        <w:top w:val="none" w:sz="0" w:space="0" w:color="auto"/>
        <w:left w:val="none" w:sz="0" w:space="0" w:color="auto"/>
        <w:bottom w:val="none" w:sz="0" w:space="0" w:color="auto"/>
        <w:right w:val="none" w:sz="0" w:space="0" w:color="auto"/>
      </w:divBdr>
    </w:div>
    <w:div w:id="842209637">
      <w:bodyDiv w:val="1"/>
      <w:marLeft w:val="0"/>
      <w:marRight w:val="0"/>
      <w:marTop w:val="0"/>
      <w:marBottom w:val="0"/>
      <w:divBdr>
        <w:top w:val="none" w:sz="0" w:space="0" w:color="auto"/>
        <w:left w:val="none" w:sz="0" w:space="0" w:color="auto"/>
        <w:bottom w:val="none" w:sz="0" w:space="0" w:color="auto"/>
        <w:right w:val="none" w:sz="0" w:space="0" w:color="auto"/>
      </w:divBdr>
    </w:div>
    <w:div w:id="1247575587">
      <w:bodyDiv w:val="1"/>
      <w:marLeft w:val="0"/>
      <w:marRight w:val="0"/>
      <w:marTop w:val="0"/>
      <w:marBottom w:val="0"/>
      <w:divBdr>
        <w:top w:val="none" w:sz="0" w:space="0" w:color="auto"/>
        <w:left w:val="none" w:sz="0" w:space="0" w:color="auto"/>
        <w:bottom w:val="none" w:sz="0" w:space="0" w:color="auto"/>
        <w:right w:val="none" w:sz="0" w:space="0" w:color="auto"/>
      </w:divBdr>
    </w:div>
    <w:div w:id="127736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2294</Words>
  <Characters>13883</Characters>
  <Application>Microsoft Office Word</Application>
  <DocSecurity>0</DocSecurity>
  <Lines>210</Lines>
  <Paragraphs>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Høegh</dc:creator>
  <cp:keywords/>
  <dc:description/>
  <cp:lastModifiedBy>Katja Høegh</cp:lastModifiedBy>
  <cp:revision>2</cp:revision>
  <dcterms:created xsi:type="dcterms:W3CDTF">2025-09-24T09:29:00Z</dcterms:created>
  <dcterms:modified xsi:type="dcterms:W3CDTF">2025-09-24T09:42:00Z</dcterms:modified>
</cp:coreProperties>
</file>